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966"/>
      </w:tblGrid>
      <w:tr w:rsidR="001D3A5C" w:rsidRPr="001F2C7C" w:rsidTr="000C22D4">
        <w:trPr>
          <w:trHeight w:val="1971"/>
        </w:trPr>
        <w:tc>
          <w:tcPr>
            <w:tcW w:w="2390" w:type="dxa"/>
            <w:vAlign w:val="center"/>
          </w:tcPr>
          <w:p w:rsidR="001D3A5C" w:rsidRPr="001F2C7C" w:rsidRDefault="001D3A5C" w:rsidP="00DD2A96">
            <w:pPr>
              <w:jc w:val="both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"http://www.tpd.intraj/intratpd/CourtSystemLogo/GifLogo/photos/A5-02-1.gif" \* MERGEFORMATINET </w:instrText>
            </w:r>
            <w:r>
              <w:rPr>
                <w:color w:val="000000"/>
              </w:rPr>
              <w:fldChar w:fldCharType="separate"/>
            </w:r>
            <w:r w:rsidR="00A272EB">
              <w:rPr>
                <w:color w:val="000000"/>
              </w:rPr>
              <w:fldChar w:fldCharType="begin"/>
            </w:r>
            <w:r w:rsidR="00A272EB">
              <w:rPr>
                <w:color w:val="000000"/>
              </w:rPr>
              <w:instrText xml:space="preserve"> INCLUDEPICTURE  "http://www.tpd.intraj/intratpd/CourtSystemLogo/GifLogo/photos/A5-02-1.gif" \* MERGEFORMATINET </w:instrText>
            </w:r>
            <w:r w:rsidR="00A272EB">
              <w:rPr>
                <w:color w:val="000000"/>
              </w:rPr>
              <w:fldChar w:fldCharType="separate"/>
            </w:r>
            <w:r w:rsidR="00AC4ECF">
              <w:rPr>
                <w:color w:val="000000"/>
              </w:rPr>
              <w:fldChar w:fldCharType="begin"/>
            </w:r>
            <w:r w:rsidR="00AC4ECF">
              <w:rPr>
                <w:color w:val="000000"/>
              </w:rPr>
              <w:instrText xml:space="preserve"> </w:instrText>
            </w:r>
            <w:r w:rsidR="00AC4ECF">
              <w:rPr>
                <w:color w:val="000000"/>
              </w:rPr>
              <w:instrText>INCLUDEPICTURE  "http://www.tpd.intraj/intratpd/CourtSystemLogo/GifLogo/photos/A5-02-1.gif" \* MERGEFORMATINET</w:instrText>
            </w:r>
            <w:r w:rsidR="00AC4ECF">
              <w:rPr>
                <w:color w:val="000000"/>
              </w:rPr>
              <w:instrText xml:space="preserve"> </w:instrText>
            </w:r>
            <w:r w:rsidR="00AC4ECF">
              <w:rPr>
                <w:color w:val="000000"/>
              </w:rPr>
              <w:fldChar w:fldCharType="separate"/>
            </w:r>
            <w:r w:rsidR="000C22D4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alt="Photograph" style="width:106.45pt;height:107.05pt">
                  <v:imagedata r:id="rId6" r:href="rId7"/>
                </v:shape>
              </w:pict>
            </w:r>
            <w:r w:rsidR="00AC4ECF">
              <w:rPr>
                <w:color w:val="000000"/>
              </w:rPr>
              <w:fldChar w:fldCharType="end"/>
            </w:r>
            <w:r w:rsidR="00A272EB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6966" w:type="dxa"/>
          </w:tcPr>
          <w:p w:rsidR="001D3A5C" w:rsidRPr="004E4C64" w:rsidRDefault="001D3A5C" w:rsidP="00DD2A96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Pr="004E4C64">
              <w:rPr>
                <w:rFonts w:ascii="標楷體" w:eastAsia="標楷體" w:hAnsi="標楷體" w:hint="eastAsia"/>
                <w:b/>
                <w:sz w:val="56"/>
                <w:szCs w:val="56"/>
              </w:rPr>
              <w:t>臺灣臺北地方法院新聞稿</w:t>
            </w:r>
          </w:p>
          <w:p w:rsidR="001D3A5C" w:rsidRDefault="001D3A5C" w:rsidP="00DD2A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發稿日期：108年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</w:t>
            </w:r>
          </w:p>
          <w:p w:rsidR="001D3A5C" w:rsidRDefault="001D3A5C" w:rsidP="00DD2A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發稿單位：公共關係室</w:t>
            </w:r>
          </w:p>
          <w:p w:rsidR="001D3A5C" w:rsidRDefault="001D3A5C" w:rsidP="00DD2A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連 絡 人：行政庭長  黃珮禎</w:t>
            </w:r>
          </w:p>
          <w:p w:rsidR="001D3A5C" w:rsidRPr="001F2C7C" w:rsidRDefault="001D3A5C" w:rsidP="00DD2A96">
            <w:pPr>
              <w:spacing w:line="0" w:lineRule="atLeast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</w:t>
            </w:r>
            <w:r w:rsidRPr="001D3A5C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2047489280"/>
              </w:rPr>
              <w:t>連絡電話：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02-23146871分機6039</w:t>
            </w:r>
            <w:r>
              <w:rPr>
                <w:rFonts w:ascii="標楷體" w:eastAsia="標楷體" w:hAnsi="標楷體" w:hint="eastAsia"/>
              </w:rPr>
              <w:t xml:space="preserve">  編號：108-</w:t>
            </w:r>
            <w:r>
              <w:rPr>
                <w:rFonts w:ascii="標楷體" w:eastAsia="標楷體" w:hAnsi="標楷體"/>
              </w:rPr>
              <w:t>31</w:t>
            </w:r>
          </w:p>
        </w:tc>
      </w:tr>
    </w:tbl>
    <w:p w:rsidR="00C86371" w:rsidRPr="001F2C7C" w:rsidRDefault="00C86371" w:rsidP="00C86371">
      <w:pPr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1F2C7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860415" cy="36195"/>
                <wp:effectExtent l="19050" t="19050" r="16510" b="2095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0415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2804" id="直線接點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61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" strokeweight="2.25pt"/>
            </w:pict>
          </mc:Fallback>
        </mc:AlternateContent>
      </w:r>
    </w:p>
    <w:p w:rsidR="0043351D" w:rsidRPr="0043351D" w:rsidRDefault="0043351D" w:rsidP="0043351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標楷體" w:eastAsia="標楷體" w:hAnsi="標楷體"/>
          <w:bCs w:val="0"/>
          <w:sz w:val="32"/>
          <w:szCs w:val="32"/>
        </w:rPr>
      </w:pPr>
      <w:bookmarkStart w:id="0" w:name="_GoBack"/>
      <w:bookmarkEnd w:id="0"/>
      <w:r w:rsidRPr="0043351D">
        <w:rPr>
          <w:rFonts w:ascii="標楷體" w:eastAsia="標楷體" w:hAnsi="標楷體" w:hint="eastAsia"/>
          <w:bCs w:val="0"/>
          <w:sz w:val="32"/>
          <w:szCs w:val="32"/>
        </w:rPr>
        <w:t>本院108年度聲羈字第328號違反集會遊行法等案件新聞稿</w:t>
      </w:r>
    </w:p>
    <w:p w:rsidR="00461A73" w:rsidRPr="000C22D4" w:rsidRDefault="00FC32B1" w:rsidP="00574125">
      <w:pPr>
        <w:spacing w:line="360" w:lineRule="auto"/>
        <w:ind w:firstLineChars="200" w:firstLine="560"/>
        <w:jc w:val="both"/>
        <w:rPr>
          <w:rFonts w:ascii="標楷體" w:eastAsia="標楷體" w:hAnsi="標楷體" w:cs="Times New Roman"/>
          <w:bCs/>
          <w:sz w:val="28"/>
          <w:szCs w:val="32"/>
        </w:rPr>
      </w:pPr>
      <w:r w:rsidRPr="000C22D4">
        <w:rPr>
          <w:rFonts w:ascii="標楷體" w:eastAsia="標楷體" w:hAnsi="標楷體" w:cs="Times New Roman" w:hint="eastAsia"/>
          <w:bCs/>
          <w:sz w:val="28"/>
          <w:szCs w:val="32"/>
        </w:rPr>
        <w:t>本院108年度聲羈字第328號違反集會遊行法等案件，經檢察官聲請羈押</w:t>
      </w:r>
      <w:r w:rsidR="00461A73" w:rsidRPr="000C22D4">
        <w:rPr>
          <w:rFonts w:ascii="標楷體" w:eastAsia="標楷體" w:hAnsi="標楷體" w:cs="Times New Roman" w:hint="eastAsia"/>
          <w:bCs/>
          <w:sz w:val="28"/>
          <w:szCs w:val="32"/>
        </w:rPr>
        <w:t>被告胡志偉</w:t>
      </w:r>
      <w:r w:rsidRPr="000C22D4">
        <w:rPr>
          <w:rFonts w:ascii="標楷體" w:eastAsia="標楷體" w:hAnsi="標楷體" w:cs="Times New Roman" w:hint="eastAsia"/>
          <w:bCs/>
          <w:sz w:val="28"/>
          <w:szCs w:val="32"/>
        </w:rPr>
        <w:t>及梁太富，本院認無羈押之必要，被告胡志偉</w:t>
      </w:r>
      <w:r w:rsidR="00461A73" w:rsidRPr="000C22D4">
        <w:rPr>
          <w:rFonts w:ascii="標楷體" w:eastAsia="標楷體" w:hAnsi="標楷體" w:cs="Times New Roman" w:hint="eastAsia"/>
          <w:bCs/>
          <w:sz w:val="28"/>
          <w:szCs w:val="32"/>
        </w:rPr>
        <w:t>准以新臺幣20萬元具保</w:t>
      </w:r>
      <w:r w:rsidRPr="000C22D4">
        <w:rPr>
          <w:rFonts w:ascii="標楷體" w:eastAsia="標楷體" w:hAnsi="標楷體" w:cs="Times New Roman" w:hint="eastAsia"/>
          <w:bCs/>
          <w:sz w:val="28"/>
          <w:szCs w:val="32"/>
        </w:rPr>
        <w:t>，被告梁太富准以新台幣10萬元</w:t>
      </w:r>
      <w:r w:rsidR="00976EC3" w:rsidRPr="000C22D4">
        <w:rPr>
          <w:rFonts w:ascii="標楷體" w:eastAsia="標楷體" w:hAnsi="標楷體" w:cs="Times New Roman" w:hint="eastAsia"/>
          <w:bCs/>
          <w:sz w:val="28"/>
          <w:szCs w:val="32"/>
        </w:rPr>
        <w:t>具保</w:t>
      </w:r>
      <w:r w:rsidRPr="000C22D4">
        <w:rPr>
          <w:rFonts w:ascii="標楷體" w:eastAsia="標楷體" w:hAnsi="標楷體" w:cs="Times New Roman" w:hint="eastAsia"/>
          <w:bCs/>
          <w:sz w:val="28"/>
          <w:szCs w:val="32"/>
        </w:rPr>
        <w:t>，其裁定理由如下:</w:t>
      </w:r>
    </w:p>
    <w:p w:rsidR="00461A73" w:rsidRPr="000C22D4" w:rsidRDefault="00461A73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 xml:space="preserve">一、被告犯罪嫌疑重大 </w:t>
      </w:r>
    </w:p>
    <w:p w:rsidR="00461A73" w:rsidRPr="000C22D4" w:rsidRDefault="00461A73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 xml:space="preserve">  </w:t>
      </w:r>
      <w:r w:rsidR="00926344" w:rsidRPr="000C22D4">
        <w:rPr>
          <w:rFonts w:ascii="標楷體" w:eastAsia="標楷體" w:hAnsi="標楷體" w:hint="eastAsia"/>
          <w:sz w:val="28"/>
          <w:szCs w:val="32"/>
        </w:rPr>
        <w:t>(一)</w:t>
      </w:r>
      <w:r w:rsidRPr="000C22D4">
        <w:rPr>
          <w:rFonts w:ascii="標楷體" w:eastAsia="標楷體" w:hAnsi="標楷體" w:hint="eastAsia"/>
          <w:sz w:val="28"/>
          <w:szCs w:val="32"/>
        </w:rPr>
        <w:t>被告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胡志偉、梁太富</w:t>
      </w:r>
      <w:r w:rsidRPr="000C22D4">
        <w:rPr>
          <w:rFonts w:ascii="標楷體" w:eastAsia="標楷體" w:hAnsi="標楷體" w:hint="eastAsia"/>
          <w:sz w:val="28"/>
          <w:szCs w:val="32"/>
        </w:rPr>
        <w:t>涉犯集會遊行法第31條妨害合法集會遊行罪、刑法第304條強制罪、第354 條毀損罪、第309 條第2 項以強暴犯公然侮辱罪等罪嫌，業據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檢察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官</w:t>
      </w:r>
      <w:r w:rsidRPr="000C22D4">
        <w:rPr>
          <w:rFonts w:ascii="標楷體" w:eastAsia="標楷體" w:hAnsi="標楷體" w:hint="eastAsia"/>
          <w:sz w:val="28"/>
          <w:szCs w:val="32"/>
        </w:rPr>
        <w:t>提出同案被告梁太富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、胡志偉</w:t>
      </w:r>
      <w:r w:rsidRPr="000C22D4">
        <w:rPr>
          <w:rFonts w:ascii="標楷體" w:eastAsia="標楷體" w:hAnsi="標楷體" w:hint="eastAsia"/>
          <w:sz w:val="28"/>
          <w:szCs w:val="32"/>
        </w:rPr>
        <w:t>供述、證人何○○、呂○○</w:t>
      </w:r>
      <w:r w:rsidR="00467A74" w:rsidRPr="000C22D4">
        <w:rPr>
          <w:rFonts w:ascii="標楷體" w:eastAsia="標楷體" w:hAnsi="標楷體" w:hint="eastAsia"/>
          <w:sz w:val="28"/>
          <w:szCs w:val="32"/>
        </w:rPr>
        <w:t>證</w:t>
      </w:r>
      <w:r w:rsidRPr="000C22D4">
        <w:rPr>
          <w:rFonts w:ascii="標楷體" w:eastAsia="標楷體" w:hAnsi="標楷體" w:hint="eastAsia"/>
          <w:sz w:val="28"/>
          <w:szCs w:val="32"/>
        </w:rPr>
        <w:t>述、扣案油漆罐、頭套、監視器錄影畫面、行前會議錄影影像及譯文等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證據釋明</w:t>
      </w:r>
      <w:r w:rsidRPr="000C22D4">
        <w:rPr>
          <w:rFonts w:ascii="標楷體" w:eastAsia="標楷體" w:hAnsi="標楷體" w:hint="eastAsia"/>
          <w:sz w:val="28"/>
          <w:szCs w:val="32"/>
        </w:rPr>
        <w:t>，堪認符合犯罪嫌疑重大之要件。</w:t>
      </w:r>
    </w:p>
    <w:p w:rsidR="00461A73" w:rsidRPr="000C22D4" w:rsidRDefault="00926344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 xml:space="preserve">　(二)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至</w:t>
      </w:r>
      <w:r w:rsidRPr="000C22D4">
        <w:rPr>
          <w:rFonts w:ascii="標楷體" w:eastAsia="標楷體" w:hAnsi="標楷體" w:hint="eastAsia"/>
          <w:sz w:val="28"/>
          <w:szCs w:val="32"/>
        </w:rPr>
        <w:t>於檢察官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為釋明</w:t>
      </w:r>
      <w:r w:rsidRPr="000C22D4">
        <w:rPr>
          <w:rFonts w:ascii="標楷體" w:eastAsia="標楷體" w:hAnsi="標楷體" w:hint="eastAsia"/>
          <w:sz w:val="28"/>
          <w:szCs w:val="32"/>
        </w:rPr>
        <w:t>被告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亦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涉犯組織犯罪條例第3條第1 項前段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之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主持犯罪組織罪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而提出被告等之行前會議錄影為證。惟該行前會議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係於實施犯罪之2 小時前所召開，內容均係討論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此次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實行潑漆之相關細節，</w:t>
      </w:r>
      <w:r w:rsidRPr="000C22D4">
        <w:rPr>
          <w:rFonts w:ascii="標楷體" w:eastAsia="標楷體" w:hAnsi="標楷體" w:hint="eastAsia"/>
          <w:sz w:val="28"/>
          <w:szCs w:val="32"/>
        </w:rPr>
        <w:t>認屬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臨時召集討論而非持續性之結構性組織，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未能釋明被告涉犯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組織犯罪條例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罪嫌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。</w:t>
      </w:r>
    </w:p>
    <w:p w:rsidR="00461A73" w:rsidRPr="000C22D4" w:rsidRDefault="00461A73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lastRenderedPageBreak/>
        <w:t>二、被告無逃亡之虞：</w:t>
      </w:r>
    </w:p>
    <w:p w:rsidR="00461A73" w:rsidRPr="000C22D4" w:rsidRDefault="00461A73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 xml:space="preserve">　　</w:t>
      </w:r>
      <w:r w:rsidR="00926344" w:rsidRPr="000C22D4">
        <w:rPr>
          <w:rFonts w:ascii="標楷體" w:eastAsia="標楷體" w:hAnsi="標楷體" w:hint="eastAsia"/>
          <w:sz w:val="28"/>
          <w:szCs w:val="32"/>
        </w:rPr>
        <w:t>被告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胡志偉</w:t>
      </w:r>
      <w:r w:rsidR="00926344" w:rsidRPr="000C22D4">
        <w:rPr>
          <w:rFonts w:ascii="標楷體" w:eastAsia="標楷體" w:hAnsi="標楷體" w:hint="eastAsia"/>
          <w:sz w:val="28"/>
          <w:szCs w:val="32"/>
        </w:rPr>
        <w:t>行為時雖有</w:t>
      </w:r>
      <w:r w:rsidRPr="000C22D4">
        <w:rPr>
          <w:rFonts w:ascii="標楷體" w:eastAsia="標楷體" w:hAnsi="標楷體" w:hint="eastAsia"/>
          <w:sz w:val="28"/>
          <w:szCs w:val="32"/>
        </w:rPr>
        <w:t>變裝</w:t>
      </w:r>
      <w:r w:rsidR="00926344" w:rsidRPr="000C22D4">
        <w:rPr>
          <w:rFonts w:ascii="標楷體" w:eastAsia="標楷體" w:hAnsi="標楷體" w:hint="eastAsia"/>
          <w:sz w:val="28"/>
          <w:szCs w:val="32"/>
        </w:rPr>
        <w:t>，但</w:t>
      </w:r>
      <w:r w:rsidRPr="000C22D4">
        <w:rPr>
          <w:rFonts w:ascii="標楷體" w:eastAsia="標楷體" w:hAnsi="標楷體" w:hint="eastAsia"/>
          <w:sz w:val="28"/>
          <w:szCs w:val="32"/>
        </w:rPr>
        <w:t>係為接近現場之犯罪計劃中一環，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被告梁太富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雖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有協助被告胡志偉逃離現場，但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被告二人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均遭在場民眾壓制送警究辦，</w:t>
      </w:r>
      <w:r w:rsidR="00926344" w:rsidRPr="000C22D4">
        <w:rPr>
          <w:rFonts w:ascii="標楷體" w:eastAsia="標楷體" w:hAnsi="標楷體" w:hint="eastAsia"/>
          <w:sz w:val="28"/>
          <w:szCs w:val="32"/>
        </w:rPr>
        <w:t>且</w:t>
      </w:r>
      <w:r w:rsidRPr="000C22D4">
        <w:rPr>
          <w:rFonts w:ascii="標楷體" w:eastAsia="標楷體" w:hAnsi="標楷體" w:hint="eastAsia"/>
          <w:sz w:val="28"/>
          <w:szCs w:val="32"/>
        </w:rPr>
        <w:t>被告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二人</w:t>
      </w:r>
      <w:r w:rsidRPr="000C22D4">
        <w:rPr>
          <w:rFonts w:ascii="標楷體" w:eastAsia="標楷體" w:hAnsi="標楷體" w:hint="eastAsia"/>
          <w:sz w:val="28"/>
          <w:szCs w:val="32"/>
        </w:rPr>
        <w:t>有固定居所、工作，</w:t>
      </w:r>
      <w:r w:rsidR="00EC2DD6" w:rsidRPr="000C22D4">
        <w:rPr>
          <w:rFonts w:ascii="標楷體" w:eastAsia="標楷體" w:hAnsi="標楷體" w:hint="eastAsia"/>
          <w:sz w:val="28"/>
          <w:szCs w:val="32"/>
        </w:rPr>
        <w:t>並</w:t>
      </w:r>
      <w:r w:rsidRPr="000C22D4">
        <w:rPr>
          <w:rFonts w:ascii="標楷體" w:eastAsia="標楷體" w:hAnsi="標楷體" w:hint="eastAsia"/>
          <w:sz w:val="28"/>
          <w:szCs w:val="32"/>
        </w:rPr>
        <w:t>有須其扶養之人，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檢察官復未提出其他事證，</w:t>
      </w:r>
      <w:r w:rsidR="00926344" w:rsidRPr="000C22D4">
        <w:rPr>
          <w:rFonts w:ascii="標楷體" w:eastAsia="標楷體" w:hAnsi="標楷體" w:hint="eastAsia"/>
          <w:sz w:val="28"/>
          <w:szCs w:val="32"/>
        </w:rPr>
        <w:t>難</w:t>
      </w:r>
      <w:r w:rsidRPr="000C22D4">
        <w:rPr>
          <w:rFonts w:ascii="標楷體" w:eastAsia="標楷體" w:hAnsi="標楷體" w:hint="eastAsia"/>
          <w:sz w:val="28"/>
          <w:szCs w:val="32"/>
        </w:rPr>
        <w:t>認被告有逃亡之虞。</w:t>
      </w:r>
    </w:p>
    <w:p w:rsidR="00257229" w:rsidRPr="000C22D4" w:rsidRDefault="00461A73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>三、</w:t>
      </w:r>
      <w:r w:rsidR="00257229" w:rsidRPr="000C22D4">
        <w:rPr>
          <w:rFonts w:ascii="標楷體" w:eastAsia="標楷體" w:hAnsi="標楷體" w:hint="eastAsia"/>
          <w:sz w:val="28"/>
          <w:szCs w:val="32"/>
        </w:rPr>
        <w:t>被告無反覆實施強制罪之虞：</w:t>
      </w:r>
    </w:p>
    <w:p w:rsidR="00257229" w:rsidRPr="000C22D4" w:rsidRDefault="00257229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 xml:space="preserve">　　被告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胡志偉</w:t>
      </w:r>
      <w:r w:rsidRPr="000C22D4">
        <w:rPr>
          <w:rFonts w:ascii="標楷體" w:eastAsia="標楷體" w:hAnsi="標楷體" w:hint="eastAsia"/>
          <w:sz w:val="28"/>
          <w:szCs w:val="32"/>
        </w:rPr>
        <w:t>固曾因潑漆而遭判刑，惟該案係判處傷害、公然侮辱罪，與本案檢察官認涉及強制罪不同，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且此犯罪與被告梁太富無關，又</w:t>
      </w:r>
      <w:r w:rsidRPr="000C22D4">
        <w:rPr>
          <w:rFonts w:ascii="標楷體" w:eastAsia="標楷體" w:hAnsi="標楷體" w:hint="eastAsia"/>
          <w:sz w:val="28"/>
          <w:szCs w:val="32"/>
        </w:rPr>
        <w:t>被告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二人均</w:t>
      </w:r>
      <w:r w:rsidRPr="000C22D4">
        <w:rPr>
          <w:rFonts w:ascii="標楷體" w:eastAsia="標楷體" w:hAnsi="標楷體" w:hint="eastAsia"/>
          <w:sz w:val="28"/>
          <w:szCs w:val="32"/>
        </w:rPr>
        <w:t>當庭表示不會再以相類手法表達意見並知悉如再為相類行為，將構成反覆實施之羈押原因，不認被告有反覆實施強制罪之虞。</w:t>
      </w:r>
    </w:p>
    <w:p w:rsidR="00461A73" w:rsidRPr="000C22D4" w:rsidRDefault="00257229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>四、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被告</w:t>
      </w:r>
      <w:r w:rsidR="00926344" w:rsidRPr="000C22D4">
        <w:rPr>
          <w:rFonts w:ascii="標楷體" w:eastAsia="標楷體" w:hAnsi="標楷體" w:hint="eastAsia"/>
          <w:sz w:val="28"/>
          <w:szCs w:val="32"/>
        </w:rPr>
        <w:t>雖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有勾串、滅證之虞</w:t>
      </w:r>
      <w:r w:rsidR="00926344" w:rsidRPr="000C22D4">
        <w:rPr>
          <w:rFonts w:ascii="標楷體" w:eastAsia="標楷體" w:hAnsi="標楷體" w:hint="eastAsia"/>
          <w:sz w:val="28"/>
          <w:szCs w:val="32"/>
        </w:rPr>
        <w:t>，但</w:t>
      </w:r>
      <w:r w:rsidRPr="000C22D4">
        <w:rPr>
          <w:rFonts w:ascii="標楷體" w:eastAsia="標楷體" w:hAnsi="標楷體" w:hint="eastAsia"/>
          <w:sz w:val="28"/>
          <w:szCs w:val="32"/>
        </w:rPr>
        <w:t>本案如以足額具保，無羈押之必要：</w:t>
      </w:r>
    </w:p>
    <w:p w:rsidR="00461A73" w:rsidRPr="000C22D4" w:rsidRDefault="00257229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 xml:space="preserve"> (一)依據行前會議錄影影像，尚有多名參與討論會犯案細</w:t>
      </w:r>
      <w:r w:rsidR="00461A73" w:rsidRPr="000C22D4">
        <w:rPr>
          <w:rFonts w:ascii="標楷體" w:eastAsia="標楷體" w:hAnsi="標楷體" w:hint="eastAsia"/>
          <w:sz w:val="28"/>
          <w:szCs w:val="32"/>
        </w:rPr>
        <w:t>節之證人或潛在共犯尚未到案，其等之分工模式、犯罪細節待檢察官進一步釐清，部分具體案情未明，無法排除被告勾串或影響渠等陳述之可能性，且被告有刪除討論本案案情之對話紀錄之行為，有事實足認被告有勾串、滅證之虞。</w:t>
      </w:r>
    </w:p>
    <w:p w:rsidR="00461A73" w:rsidRPr="000C22D4" w:rsidRDefault="00461A73" w:rsidP="003C4BB4">
      <w:pPr>
        <w:jc w:val="both"/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 xml:space="preserve">  </w:t>
      </w:r>
      <w:r w:rsidR="00257229" w:rsidRPr="000C22D4">
        <w:rPr>
          <w:rFonts w:ascii="標楷體" w:eastAsia="標楷體" w:hAnsi="標楷體" w:hint="eastAsia"/>
          <w:sz w:val="28"/>
          <w:szCs w:val="32"/>
        </w:rPr>
        <w:t>(二)</w:t>
      </w:r>
      <w:r w:rsidRPr="000C22D4">
        <w:rPr>
          <w:rFonts w:ascii="標楷體" w:eastAsia="標楷體" w:hAnsi="標楷體" w:hint="eastAsia"/>
          <w:sz w:val="28"/>
          <w:szCs w:val="32"/>
        </w:rPr>
        <w:t>本案</w:t>
      </w:r>
      <w:r w:rsidR="00A110B5" w:rsidRPr="000C22D4">
        <w:rPr>
          <w:rFonts w:ascii="標楷體" w:eastAsia="標楷體" w:hAnsi="標楷體" w:hint="eastAsia"/>
          <w:sz w:val="28"/>
          <w:szCs w:val="32"/>
        </w:rPr>
        <w:t>依據比例原則，</w:t>
      </w:r>
      <w:r w:rsidRPr="000C22D4">
        <w:rPr>
          <w:rFonts w:ascii="標楷體" w:eastAsia="標楷體" w:hAnsi="標楷體" w:hint="eastAsia"/>
          <w:sz w:val="28"/>
          <w:szCs w:val="32"/>
        </w:rPr>
        <w:t>綜</w:t>
      </w:r>
      <w:r w:rsidR="00257229" w:rsidRPr="000C22D4">
        <w:rPr>
          <w:rFonts w:ascii="標楷體" w:eastAsia="標楷體" w:hAnsi="標楷體" w:hint="eastAsia"/>
          <w:sz w:val="28"/>
          <w:szCs w:val="32"/>
        </w:rPr>
        <w:t>合</w:t>
      </w:r>
      <w:r w:rsidRPr="000C22D4">
        <w:rPr>
          <w:rFonts w:ascii="標楷體" w:eastAsia="標楷體" w:hAnsi="標楷體" w:hint="eastAsia"/>
          <w:sz w:val="28"/>
          <w:szCs w:val="32"/>
        </w:rPr>
        <w:t>考量被告所涉犯罪</w:t>
      </w:r>
      <w:r w:rsidR="00257229" w:rsidRPr="000C22D4">
        <w:rPr>
          <w:rFonts w:ascii="標楷體" w:eastAsia="標楷體" w:hAnsi="標楷體" w:hint="eastAsia"/>
          <w:sz w:val="28"/>
          <w:szCs w:val="32"/>
        </w:rPr>
        <w:t>之</w:t>
      </w:r>
      <w:r w:rsidRPr="000C22D4">
        <w:rPr>
          <w:rFonts w:ascii="標楷體" w:eastAsia="標楷體" w:hAnsi="標楷體" w:hint="eastAsia"/>
          <w:sz w:val="28"/>
          <w:szCs w:val="32"/>
        </w:rPr>
        <w:t>危害</w:t>
      </w:r>
      <w:r w:rsidR="00257229" w:rsidRPr="000C22D4">
        <w:rPr>
          <w:rFonts w:ascii="標楷體" w:eastAsia="標楷體" w:hAnsi="標楷體" w:hint="eastAsia"/>
          <w:sz w:val="28"/>
          <w:szCs w:val="32"/>
        </w:rPr>
        <w:t>程度及</w:t>
      </w:r>
      <w:r w:rsidRPr="000C22D4">
        <w:rPr>
          <w:rFonts w:ascii="標楷體" w:eastAsia="標楷體" w:hAnsi="標楷體" w:hint="eastAsia"/>
          <w:sz w:val="28"/>
          <w:szCs w:val="32"/>
        </w:rPr>
        <w:t>偵辦案件之進度、本案犯罪手法等情節</w:t>
      </w:r>
      <w:r w:rsidR="003C4BB4" w:rsidRPr="000C22D4">
        <w:rPr>
          <w:rFonts w:ascii="標楷體" w:eastAsia="標楷體" w:hAnsi="標楷體" w:hint="eastAsia"/>
          <w:sz w:val="28"/>
          <w:szCs w:val="32"/>
        </w:rPr>
        <w:t>，暨</w:t>
      </w:r>
      <w:r w:rsidRPr="000C22D4">
        <w:rPr>
          <w:rFonts w:ascii="標楷體" w:eastAsia="標楷體" w:hAnsi="標楷體" w:hint="eastAsia"/>
          <w:sz w:val="28"/>
          <w:szCs w:val="32"/>
        </w:rPr>
        <w:t>國家刑事司法權、公共利益維護、被告人身自由私益及防禦權受限制程度，</w:t>
      </w:r>
      <w:r w:rsidR="003C4BB4" w:rsidRPr="000C22D4">
        <w:rPr>
          <w:rFonts w:ascii="標楷體" w:eastAsia="標楷體" w:hAnsi="標楷體" w:hint="eastAsia"/>
          <w:sz w:val="28"/>
          <w:szCs w:val="32"/>
        </w:rPr>
        <w:t>並審酌本件所涉犯</w:t>
      </w:r>
      <w:r w:rsidRPr="000C22D4">
        <w:rPr>
          <w:rFonts w:ascii="標楷體" w:eastAsia="標楷體" w:hAnsi="標楷體" w:hint="eastAsia"/>
          <w:sz w:val="28"/>
          <w:szCs w:val="32"/>
        </w:rPr>
        <w:t>係</w:t>
      </w:r>
      <w:r w:rsidR="003C4BB4" w:rsidRPr="000C22D4">
        <w:rPr>
          <w:rFonts w:ascii="標楷體" w:eastAsia="標楷體" w:hAnsi="標楷體" w:hint="eastAsia"/>
          <w:sz w:val="28"/>
          <w:szCs w:val="32"/>
        </w:rPr>
        <w:t>屬</w:t>
      </w:r>
      <w:r w:rsidRPr="000C22D4">
        <w:rPr>
          <w:rFonts w:ascii="標楷體" w:eastAsia="標楷體" w:hAnsi="標楷體" w:hint="eastAsia"/>
          <w:sz w:val="28"/>
          <w:szCs w:val="32"/>
        </w:rPr>
        <w:t>最重本刑三年以下有期徒刑之罪，屬刑事訴訟法第114 條第1 款規定</w:t>
      </w:r>
      <w:r w:rsidR="003C4BB4" w:rsidRPr="000C22D4">
        <w:rPr>
          <w:rFonts w:ascii="標楷體" w:eastAsia="標楷體" w:hAnsi="標楷體" w:hint="eastAsia"/>
          <w:sz w:val="28"/>
          <w:szCs w:val="32"/>
        </w:rPr>
        <w:t>之</w:t>
      </w:r>
      <w:r w:rsidRPr="000C22D4">
        <w:rPr>
          <w:rFonts w:ascii="標楷體" w:eastAsia="標楷體" w:hAnsi="標楷體" w:hint="eastAsia"/>
          <w:sz w:val="28"/>
          <w:szCs w:val="32"/>
        </w:rPr>
        <w:t>不得駁回具保聲請之情形，認尚無羈押之必要，爰准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被告胡志偉</w:t>
      </w:r>
      <w:r w:rsidRPr="000C22D4">
        <w:rPr>
          <w:rFonts w:ascii="標楷體" w:eastAsia="標楷體" w:hAnsi="標楷體" w:hint="eastAsia"/>
          <w:sz w:val="28"/>
          <w:szCs w:val="32"/>
        </w:rPr>
        <w:t>以新臺幣20萬元具保</w:t>
      </w:r>
      <w:r w:rsidR="00976EC3" w:rsidRPr="000C22D4">
        <w:rPr>
          <w:rFonts w:ascii="標楷體" w:eastAsia="標楷體" w:hAnsi="標楷體" w:hint="eastAsia"/>
          <w:sz w:val="28"/>
          <w:szCs w:val="32"/>
        </w:rPr>
        <w:t>，被告</w:t>
      </w:r>
      <w:r w:rsidR="00976EC3" w:rsidRPr="000C22D4">
        <w:rPr>
          <w:rFonts w:ascii="標楷體" w:eastAsia="標楷體" w:hAnsi="標楷體" w:hint="eastAsia"/>
          <w:sz w:val="28"/>
          <w:szCs w:val="32"/>
        </w:rPr>
        <w:lastRenderedPageBreak/>
        <w:t>梁太富以10萬元具保</w:t>
      </w:r>
      <w:r w:rsidRPr="000C22D4">
        <w:rPr>
          <w:rFonts w:ascii="標楷體" w:eastAsia="標楷體" w:hAnsi="標楷體" w:hint="eastAsia"/>
          <w:sz w:val="28"/>
          <w:szCs w:val="32"/>
        </w:rPr>
        <w:t>。</w:t>
      </w:r>
    </w:p>
    <w:p w:rsidR="00976EC3" w:rsidRPr="000C22D4" w:rsidRDefault="00976EC3" w:rsidP="00FC32B1">
      <w:pPr>
        <w:rPr>
          <w:rFonts w:ascii="標楷體" w:eastAsia="標楷體" w:hAnsi="標楷體"/>
          <w:sz w:val="28"/>
          <w:szCs w:val="32"/>
        </w:rPr>
      </w:pPr>
    </w:p>
    <w:p w:rsidR="003C4BB4" w:rsidRPr="000C22D4" w:rsidRDefault="003C4BB4" w:rsidP="00FC32B1">
      <w:pPr>
        <w:rPr>
          <w:rFonts w:ascii="標楷體" w:eastAsia="標楷體" w:hAnsi="標楷體"/>
          <w:sz w:val="28"/>
          <w:szCs w:val="32"/>
        </w:rPr>
      </w:pPr>
      <w:r w:rsidRPr="000C22D4">
        <w:rPr>
          <w:rFonts w:ascii="標楷體" w:eastAsia="標楷體" w:hAnsi="標楷體" w:hint="eastAsia"/>
          <w:sz w:val="28"/>
          <w:szCs w:val="32"/>
        </w:rPr>
        <w:t>強制處分庭法官    梁夢迪</w:t>
      </w:r>
    </w:p>
    <w:sectPr w:rsidR="003C4BB4" w:rsidRPr="000C22D4" w:rsidSect="000C22D4">
      <w:pgSz w:w="11906" w:h="16838"/>
      <w:pgMar w:top="1440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CF" w:rsidRDefault="00AC4ECF" w:rsidP="00461A73">
      <w:r>
        <w:separator/>
      </w:r>
    </w:p>
  </w:endnote>
  <w:endnote w:type="continuationSeparator" w:id="0">
    <w:p w:rsidR="00AC4ECF" w:rsidRDefault="00AC4ECF" w:rsidP="0046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CF" w:rsidRDefault="00AC4ECF" w:rsidP="00461A73">
      <w:r>
        <w:separator/>
      </w:r>
    </w:p>
  </w:footnote>
  <w:footnote w:type="continuationSeparator" w:id="0">
    <w:p w:rsidR="00AC4ECF" w:rsidRDefault="00AC4ECF" w:rsidP="0046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7F"/>
    <w:rsid w:val="000C22D4"/>
    <w:rsid w:val="001D054D"/>
    <w:rsid w:val="001D3A5C"/>
    <w:rsid w:val="00257229"/>
    <w:rsid w:val="002A707F"/>
    <w:rsid w:val="00310AFE"/>
    <w:rsid w:val="003C4BB4"/>
    <w:rsid w:val="0043351D"/>
    <w:rsid w:val="00461A73"/>
    <w:rsid w:val="00467A74"/>
    <w:rsid w:val="004E7B34"/>
    <w:rsid w:val="005322FB"/>
    <w:rsid w:val="00536A3B"/>
    <w:rsid w:val="00574125"/>
    <w:rsid w:val="005E5AF8"/>
    <w:rsid w:val="0068136E"/>
    <w:rsid w:val="00926344"/>
    <w:rsid w:val="00976EC3"/>
    <w:rsid w:val="00A110B5"/>
    <w:rsid w:val="00A272EB"/>
    <w:rsid w:val="00AC4ECF"/>
    <w:rsid w:val="00B22EAF"/>
    <w:rsid w:val="00B703A1"/>
    <w:rsid w:val="00C86371"/>
    <w:rsid w:val="00D66FB3"/>
    <w:rsid w:val="00EC2DD6"/>
    <w:rsid w:val="00EC3420"/>
    <w:rsid w:val="00F42F0F"/>
    <w:rsid w:val="00FB0308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B1D74-0EE6-4111-B268-FB3321E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3351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A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A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1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1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3351D"/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tpd.intraj/intratpd/CourtSystemLogo/GifLogo/photos/A5-02-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cp:keywords/>
  <dc:description/>
  <cp:lastModifiedBy>tpduser</cp:lastModifiedBy>
  <cp:revision>13</cp:revision>
  <cp:lastPrinted>2019-09-30T10:25:00Z</cp:lastPrinted>
  <dcterms:created xsi:type="dcterms:W3CDTF">2019-09-30T12:06:00Z</dcterms:created>
  <dcterms:modified xsi:type="dcterms:W3CDTF">2019-10-01T02:06:00Z</dcterms:modified>
</cp:coreProperties>
</file>