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8A" w:rsidRPr="00192AEC" w:rsidRDefault="006D768A" w:rsidP="006D768A">
      <w:pPr>
        <w:spacing w:afterLines="50" w:after="180" w:line="440" w:lineRule="exact"/>
        <w:ind w:leftChars="-50" w:left="-120"/>
        <w:jc w:val="center"/>
        <w:rPr>
          <w:rFonts w:ascii="標楷體" w:eastAsia="標楷體" w:hAnsi="標楷體" w:cs="細明體"/>
          <w:color w:val="auto"/>
          <w:sz w:val="32"/>
          <w:szCs w:val="32"/>
        </w:rPr>
      </w:pPr>
      <w:r w:rsidRPr="00192AEC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勞動事件法</w:t>
      </w:r>
      <w:r w:rsidR="00392C78" w:rsidRPr="00192AEC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第</w:t>
      </w:r>
      <w:r w:rsidR="00392C78" w:rsidRPr="00192AEC">
        <w:rPr>
          <w:rFonts w:ascii="Times New Roman" w:eastAsia="標楷體" w:hAnsi="Times New Roman" w:cs="Times New Roman"/>
          <w:color w:val="auto"/>
          <w:sz w:val="32"/>
          <w:szCs w:val="32"/>
        </w:rPr>
        <w:t>四十條第二項</w:t>
      </w:r>
      <w:r w:rsidR="00392C78" w:rsidRPr="00192AEC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委任律</w:t>
      </w:r>
      <w:r w:rsidR="00392C78" w:rsidRPr="00192AEC">
        <w:rPr>
          <w:rFonts w:ascii="Times New Roman" w:eastAsia="標楷體" w:hAnsi="Times New Roman" w:cs="Times New Roman"/>
          <w:color w:val="auto"/>
          <w:sz w:val="32"/>
          <w:szCs w:val="32"/>
        </w:rPr>
        <w:t>師酬金支給</w:t>
      </w:r>
      <w:r w:rsidR="00392C78" w:rsidRPr="00192AEC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標</w:t>
      </w:r>
      <w:r w:rsidR="00392C78" w:rsidRPr="00192AEC">
        <w:rPr>
          <w:rFonts w:ascii="Times New Roman" w:eastAsia="標楷體" w:hAnsi="Times New Roman" w:cs="Times New Roman"/>
          <w:color w:val="auto"/>
          <w:sz w:val="32"/>
          <w:szCs w:val="32"/>
        </w:rPr>
        <w:t>準</w:t>
      </w:r>
      <w:r w:rsidR="005F6AA7" w:rsidRPr="00192AEC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草</w:t>
      </w:r>
      <w:r w:rsidR="005F6AA7" w:rsidRPr="00192AEC">
        <w:rPr>
          <w:rFonts w:ascii="Times New Roman" w:eastAsia="標楷體" w:hAnsi="Times New Roman" w:cs="Times New Roman"/>
          <w:color w:val="auto"/>
          <w:sz w:val="32"/>
          <w:szCs w:val="32"/>
        </w:rPr>
        <w:t>案</w:t>
      </w:r>
    </w:p>
    <w:tbl>
      <w:tblPr>
        <w:tblStyle w:val="a3"/>
        <w:tblW w:w="8931" w:type="dxa"/>
        <w:tblInd w:w="-431" w:type="dxa"/>
        <w:tblLook w:val="04A0" w:firstRow="1" w:lastRow="0" w:firstColumn="1" w:lastColumn="0" w:noHBand="0" w:noVBand="1"/>
      </w:tblPr>
      <w:tblGrid>
        <w:gridCol w:w="4486"/>
        <w:gridCol w:w="4445"/>
      </w:tblGrid>
      <w:tr w:rsidR="00192AEC" w:rsidRPr="00192AEC" w:rsidTr="006D768A">
        <w:trPr>
          <w:trHeight w:val="500"/>
          <w:tblHeader/>
        </w:trPr>
        <w:tc>
          <w:tcPr>
            <w:tcW w:w="448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D768A" w:rsidRPr="00192AEC" w:rsidRDefault="006D768A" w:rsidP="009D38CF">
            <w:pPr>
              <w:pStyle w:val="1"/>
              <w:jc w:val="center"/>
              <w:rPr>
                <w:rFonts w:ascii="標楷體" w:eastAsia="標楷體" w:hAnsi="標楷體"/>
                <w:color w:val="auto"/>
                <w:bdr w:val="none" w:sz="0" w:space="0" w:color="auto" w:frame="1"/>
              </w:rPr>
            </w:pPr>
            <w:r w:rsidRPr="00192AEC">
              <w:rPr>
                <w:rFonts w:ascii="標楷體" w:eastAsia="標楷體" w:hAnsi="標楷體" w:hint="eastAsia"/>
                <w:color w:val="auto"/>
                <w:bdr w:val="none" w:sz="0" w:space="0" w:color="auto" w:frame="1"/>
              </w:rPr>
              <w:t>條    文</w:t>
            </w:r>
          </w:p>
        </w:tc>
        <w:tc>
          <w:tcPr>
            <w:tcW w:w="44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D768A" w:rsidRPr="00192AEC" w:rsidRDefault="006D768A" w:rsidP="005F6AA7">
            <w:pPr>
              <w:pStyle w:val="1"/>
              <w:jc w:val="center"/>
              <w:rPr>
                <w:rFonts w:ascii="標楷體" w:eastAsia="標楷體" w:hAnsi="標楷體"/>
                <w:color w:val="auto"/>
                <w:bdr w:val="none" w:sz="0" w:space="0" w:color="auto" w:frame="1"/>
              </w:rPr>
            </w:pPr>
            <w:r w:rsidRPr="00192AEC">
              <w:rPr>
                <w:rFonts w:ascii="標楷體" w:eastAsia="標楷體" w:hAnsi="標楷體" w:hint="eastAsia"/>
                <w:color w:val="auto"/>
                <w:bdr w:val="none" w:sz="0" w:space="0" w:color="auto" w:frame="1"/>
              </w:rPr>
              <w:t xml:space="preserve">說    </w:t>
            </w:r>
            <w:r w:rsidRPr="00192AEC">
              <w:rPr>
                <w:rFonts w:ascii="標楷體" w:eastAsia="標楷體" w:hAnsi="標楷體"/>
                <w:color w:val="auto"/>
                <w:bdr w:val="none" w:sz="0" w:space="0" w:color="auto" w:frame="1"/>
              </w:rPr>
              <w:t>明</w:t>
            </w:r>
          </w:p>
        </w:tc>
      </w:tr>
      <w:tr w:rsidR="00192AEC" w:rsidRPr="00192AEC" w:rsidTr="006D768A">
        <w:tc>
          <w:tcPr>
            <w:tcW w:w="4486" w:type="dxa"/>
            <w:tcBorders>
              <w:top w:val="single" w:sz="8" w:space="0" w:color="000000"/>
              <w:bottom w:val="single" w:sz="4" w:space="0" w:color="000000"/>
            </w:tcBorders>
          </w:tcPr>
          <w:p w:rsidR="005F6AA7" w:rsidRPr="00192AEC" w:rsidRDefault="005F6AA7" w:rsidP="00B023C8">
            <w:pPr>
              <w:pStyle w:val="1"/>
              <w:ind w:left="240" w:hangingChars="100" w:hanging="240"/>
              <w:rPr>
                <w:rFonts w:ascii="標楷體" w:eastAsia="標楷體" w:hAnsi="標楷體"/>
                <w:color w:val="auto"/>
                <w:bdr w:val="none" w:sz="0" w:space="0" w:color="auto" w:frame="1"/>
              </w:rPr>
            </w:pPr>
            <w:r w:rsidRPr="00192AEC">
              <w:rPr>
                <w:rFonts w:ascii="標楷體" w:eastAsia="標楷體" w:hAnsi="標楷體" w:hint="eastAsia"/>
                <w:color w:val="auto"/>
                <w:bdr w:val="none" w:sz="0" w:space="0" w:color="auto" w:frame="1"/>
              </w:rPr>
              <w:t>第一條  本</w:t>
            </w:r>
            <w:r w:rsidR="007E2C80" w:rsidRPr="00192AEC">
              <w:rPr>
                <w:rFonts w:ascii="標楷體" w:eastAsia="標楷體" w:hAnsi="標楷體" w:hint="eastAsia"/>
                <w:color w:val="auto"/>
                <w:bdr w:val="none" w:sz="0" w:space="0" w:color="auto" w:frame="1"/>
              </w:rPr>
              <w:t>標</w:t>
            </w:r>
            <w:r w:rsidR="007E2C80" w:rsidRPr="00192AEC">
              <w:rPr>
                <w:rFonts w:ascii="標楷體" w:eastAsia="標楷體" w:hAnsi="標楷體"/>
                <w:color w:val="auto"/>
                <w:bdr w:val="none" w:sz="0" w:space="0" w:color="auto" w:frame="1"/>
              </w:rPr>
              <w:t>準</w:t>
            </w:r>
            <w:r w:rsidRPr="00192AEC">
              <w:rPr>
                <w:rFonts w:ascii="標楷體" w:eastAsia="標楷體" w:hAnsi="標楷體" w:hint="eastAsia"/>
                <w:color w:val="auto"/>
                <w:bdr w:val="none" w:sz="0" w:space="0" w:color="auto" w:frame="1"/>
              </w:rPr>
              <w:t>依勞動事件法第</w:t>
            </w:r>
            <w:r w:rsidR="007E2C80" w:rsidRPr="00192AEC">
              <w:rPr>
                <w:rFonts w:ascii="標楷體" w:eastAsia="標楷體" w:hAnsi="標楷體" w:hint="eastAsia"/>
                <w:color w:val="auto"/>
                <w:bdr w:val="none" w:sz="0" w:space="0" w:color="auto" w:frame="1"/>
              </w:rPr>
              <w:t>四</w:t>
            </w:r>
            <w:r w:rsidRPr="00192AEC">
              <w:rPr>
                <w:rFonts w:ascii="標楷體" w:eastAsia="標楷體" w:hAnsi="標楷體" w:hint="eastAsia"/>
                <w:color w:val="auto"/>
                <w:bdr w:val="none" w:sz="0" w:space="0" w:color="auto" w:frame="1"/>
              </w:rPr>
              <w:t>十條</w:t>
            </w:r>
            <w:r w:rsidR="007E2C80" w:rsidRPr="00192AEC">
              <w:rPr>
                <w:rFonts w:ascii="標楷體" w:eastAsia="標楷體" w:hAnsi="標楷體" w:hint="eastAsia"/>
                <w:color w:val="auto"/>
                <w:bdr w:val="none" w:sz="0" w:space="0" w:color="auto" w:frame="1"/>
              </w:rPr>
              <w:t>第</w:t>
            </w:r>
            <w:r w:rsidR="000F3C1A" w:rsidRPr="00192AEC">
              <w:rPr>
                <w:rFonts w:ascii="標楷體" w:eastAsia="標楷體" w:hAnsi="標楷體" w:hint="eastAsia"/>
                <w:color w:val="auto"/>
                <w:bdr w:val="none" w:sz="0" w:space="0" w:color="auto" w:frame="1"/>
              </w:rPr>
              <w:t>五</w:t>
            </w:r>
            <w:r w:rsidR="007E2C80" w:rsidRPr="00192AEC">
              <w:rPr>
                <w:rFonts w:ascii="標楷體" w:eastAsia="標楷體" w:hAnsi="標楷體"/>
                <w:color w:val="auto"/>
                <w:bdr w:val="none" w:sz="0" w:space="0" w:color="auto" w:frame="1"/>
              </w:rPr>
              <w:t>項</w:t>
            </w:r>
            <w:r w:rsidR="00B023C8">
              <w:rPr>
                <w:rFonts w:ascii="標楷體" w:eastAsia="標楷體" w:hAnsi="標楷體" w:hint="eastAsia"/>
                <w:color w:val="auto"/>
                <w:bdr w:val="none" w:sz="0" w:space="0" w:color="auto" w:frame="1"/>
              </w:rPr>
              <w:t>規定</w:t>
            </w:r>
            <w:r w:rsidRPr="00192AEC">
              <w:rPr>
                <w:rFonts w:ascii="標楷體" w:eastAsia="標楷體" w:hAnsi="標楷體" w:hint="eastAsia"/>
                <w:color w:val="auto"/>
                <w:bdr w:val="none" w:sz="0" w:space="0" w:color="auto" w:frame="1"/>
              </w:rPr>
              <w:t>訂定之。</w:t>
            </w:r>
          </w:p>
        </w:tc>
        <w:tc>
          <w:tcPr>
            <w:tcW w:w="4445" w:type="dxa"/>
          </w:tcPr>
          <w:p w:rsidR="005F6AA7" w:rsidRPr="00192AEC" w:rsidRDefault="00960FA8" w:rsidP="007E2C80">
            <w:pPr>
              <w:spacing w:line="400" w:lineRule="exac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明定</w:t>
            </w:r>
            <w:r w:rsidR="005F6AA7" w:rsidRPr="00192AEC">
              <w:rPr>
                <w:rFonts w:ascii="標楷體" w:eastAsia="標楷體" w:hAnsi="標楷體" w:hint="eastAsia"/>
                <w:color w:val="auto"/>
              </w:rPr>
              <w:t>本</w:t>
            </w:r>
            <w:r w:rsidR="007E2C80" w:rsidRPr="00192AEC">
              <w:rPr>
                <w:rFonts w:ascii="標楷體" w:eastAsia="標楷體" w:hAnsi="標楷體" w:hint="eastAsia"/>
                <w:color w:val="auto"/>
              </w:rPr>
              <w:t>標</w:t>
            </w:r>
            <w:r w:rsidR="007E2C80" w:rsidRPr="00192AEC">
              <w:rPr>
                <w:rFonts w:ascii="標楷體" w:eastAsia="標楷體" w:hAnsi="標楷體"/>
                <w:color w:val="auto"/>
              </w:rPr>
              <w:t>準</w:t>
            </w:r>
            <w:r w:rsidR="00C35DB2">
              <w:rPr>
                <w:rFonts w:ascii="標楷體" w:eastAsia="標楷體" w:hAnsi="標楷體" w:hint="eastAsia"/>
                <w:color w:val="auto"/>
              </w:rPr>
              <w:t>之</w:t>
            </w:r>
            <w:r w:rsidR="0056309F" w:rsidRPr="00192AEC">
              <w:rPr>
                <w:rFonts w:ascii="標楷體" w:eastAsia="標楷體" w:hAnsi="標楷體"/>
                <w:color w:val="auto"/>
              </w:rPr>
              <w:t>授權</w:t>
            </w:r>
            <w:r w:rsidR="005F6AA7" w:rsidRPr="00192AEC">
              <w:rPr>
                <w:rFonts w:ascii="標楷體" w:eastAsia="標楷體" w:hAnsi="標楷體" w:hint="eastAsia"/>
                <w:color w:val="auto"/>
              </w:rPr>
              <w:t>依據。</w:t>
            </w:r>
          </w:p>
        </w:tc>
      </w:tr>
      <w:tr w:rsidR="00192AEC" w:rsidRPr="00192AEC" w:rsidTr="006D768A">
        <w:tc>
          <w:tcPr>
            <w:tcW w:w="4486" w:type="dxa"/>
            <w:tcBorders>
              <w:top w:val="single" w:sz="4" w:space="0" w:color="000000"/>
              <w:bottom w:val="single" w:sz="4" w:space="0" w:color="000000"/>
            </w:tcBorders>
          </w:tcPr>
          <w:p w:rsidR="007E2C80" w:rsidRPr="00192AEC" w:rsidRDefault="005F6AA7" w:rsidP="007E2C80">
            <w:pPr>
              <w:pStyle w:val="1"/>
              <w:ind w:left="240" w:hangingChars="100" w:hanging="240"/>
              <w:contextualSpacing/>
              <w:jc w:val="both"/>
              <w:rPr>
                <w:rFonts w:ascii="標楷體" w:eastAsia="標楷體" w:hAnsi="標楷體" w:cs="細明體"/>
                <w:color w:val="auto"/>
              </w:rPr>
            </w:pPr>
            <w:r w:rsidRPr="00192AEC">
              <w:rPr>
                <w:rFonts w:ascii="標楷體" w:eastAsia="標楷體" w:hAnsi="標楷體" w:cs="細明體" w:hint="eastAsia"/>
                <w:color w:val="auto"/>
              </w:rPr>
              <w:t xml:space="preserve">第二條  </w:t>
            </w:r>
            <w:r w:rsidR="007E2C80" w:rsidRPr="00192AEC">
              <w:rPr>
                <w:rFonts w:ascii="標楷體" w:eastAsia="標楷體" w:hAnsi="標楷體" w:cs="細明體" w:hint="eastAsia"/>
                <w:color w:val="auto"/>
              </w:rPr>
              <w:t>本</w:t>
            </w:r>
            <w:r w:rsidR="007E2C80" w:rsidRPr="00192AEC">
              <w:rPr>
                <w:rFonts w:ascii="標楷體" w:eastAsia="標楷體" w:hAnsi="標楷體" w:cs="細明體"/>
                <w:color w:val="auto"/>
              </w:rPr>
              <w:t>標準所稱之律師酬金，以得列為訴訟費用者</w:t>
            </w:r>
            <w:r w:rsidR="007E2C80" w:rsidRPr="00192AEC">
              <w:rPr>
                <w:rFonts w:ascii="標楷體" w:eastAsia="標楷體" w:hAnsi="標楷體" w:cs="細明體" w:hint="eastAsia"/>
                <w:color w:val="auto"/>
              </w:rPr>
              <w:t>為</w:t>
            </w:r>
            <w:r w:rsidR="007E2C80" w:rsidRPr="00192AEC">
              <w:rPr>
                <w:rFonts w:ascii="標楷體" w:eastAsia="標楷體" w:hAnsi="標楷體" w:cs="細明體"/>
                <w:color w:val="auto"/>
              </w:rPr>
              <w:t>限。</w:t>
            </w:r>
          </w:p>
          <w:p w:rsidR="005F6AA7" w:rsidRPr="00192AEC" w:rsidRDefault="005F6AA7" w:rsidP="005F6AA7">
            <w:pPr>
              <w:pStyle w:val="1"/>
              <w:ind w:leftChars="100" w:left="720" w:hangingChars="200" w:hanging="480"/>
              <w:contextualSpacing/>
              <w:jc w:val="both"/>
              <w:rPr>
                <w:rFonts w:ascii="標楷體" w:eastAsia="標楷體" w:hAnsi="標楷體" w:cs="細明體"/>
                <w:color w:val="auto"/>
              </w:rPr>
            </w:pPr>
          </w:p>
        </w:tc>
        <w:tc>
          <w:tcPr>
            <w:tcW w:w="4445" w:type="dxa"/>
          </w:tcPr>
          <w:p w:rsidR="005F6AA7" w:rsidRPr="00192AEC" w:rsidRDefault="00960FA8" w:rsidP="00960FA8">
            <w:pPr>
              <w:ind w:left="55" w:hangingChars="23" w:hanging="55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工會依勞動事件</w:t>
            </w:r>
            <w:r w:rsidR="009C66C9" w:rsidRPr="009C66C9">
              <w:rPr>
                <w:rFonts w:ascii="標楷體" w:eastAsia="標楷體" w:hAnsi="標楷體" w:hint="eastAsia"/>
                <w:color w:val="FF0000"/>
              </w:rPr>
              <w:t>法</w:t>
            </w:r>
            <w:r w:rsidR="000F3C1A" w:rsidRPr="00192AEC">
              <w:rPr>
                <w:rFonts w:ascii="標楷體" w:eastAsia="標楷體" w:hAnsi="標楷體" w:hint="eastAsia"/>
                <w:color w:val="auto"/>
              </w:rPr>
              <w:t>第</w:t>
            </w:r>
            <w:r w:rsidR="002856B1" w:rsidRPr="00192AEC">
              <w:rPr>
                <w:rFonts w:ascii="標楷體" w:eastAsia="標楷體" w:hAnsi="標楷體" w:hint="eastAsia"/>
                <w:color w:val="auto"/>
              </w:rPr>
              <w:t>四十</w:t>
            </w:r>
            <w:r w:rsidR="000F3C1A" w:rsidRPr="00192AEC">
              <w:rPr>
                <w:rFonts w:ascii="標楷體" w:eastAsia="標楷體" w:hAnsi="標楷體" w:hint="eastAsia"/>
                <w:color w:val="auto"/>
              </w:rPr>
              <w:t>條</w:t>
            </w:r>
            <w:r>
              <w:rPr>
                <w:rFonts w:ascii="標楷體" w:eastAsia="標楷體" w:hAnsi="標楷體" w:hint="eastAsia"/>
                <w:color w:val="auto"/>
              </w:rPr>
              <w:t>第一項提起訴訟，</w:t>
            </w:r>
            <w:proofErr w:type="gramStart"/>
            <w:r>
              <w:rPr>
                <w:rFonts w:ascii="標楷體" w:eastAsia="標楷體" w:hAnsi="標楷體" w:hint="eastAsia"/>
                <w:color w:val="auto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color w:val="auto"/>
              </w:rPr>
              <w:t>律師強制代理制度，依同條第五項規定，其律師之酬金</w:t>
            </w:r>
            <w:r w:rsidR="000F3C1A" w:rsidRPr="00192AEC">
              <w:rPr>
                <w:rFonts w:ascii="標楷體" w:eastAsia="標楷體" w:hAnsi="標楷體" w:hint="eastAsia"/>
                <w:color w:val="auto"/>
              </w:rPr>
              <w:t>為訴訟費用之一部，</w:t>
            </w:r>
            <w:proofErr w:type="gramStart"/>
            <w:r w:rsidR="000F3C1A" w:rsidRPr="00192AEC">
              <w:rPr>
                <w:rFonts w:ascii="標楷體" w:eastAsia="標楷體" w:hAnsi="標楷體" w:hint="eastAsia"/>
                <w:color w:val="auto"/>
              </w:rPr>
              <w:t>爰</w:t>
            </w:r>
            <w:proofErr w:type="gramEnd"/>
            <w:r w:rsidR="007E2C80" w:rsidRPr="00192AEC">
              <w:rPr>
                <w:rFonts w:ascii="標楷體" w:eastAsia="標楷體" w:hAnsi="標楷體" w:hint="eastAsia"/>
                <w:color w:val="auto"/>
              </w:rPr>
              <w:t>明</w:t>
            </w:r>
            <w:r>
              <w:rPr>
                <w:rFonts w:ascii="標楷體" w:eastAsia="標楷體" w:hAnsi="標楷體"/>
                <w:color w:val="auto"/>
              </w:rPr>
              <w:t>定本標準</w:t>
            </w:r>
            <w:r>
              <w:rPr>
                <w:rFonts w:ascii="標楷體" w:eastAsia="標楷體" w:hAnsi="標楷體" w:hint="eastAsia"/>
                <w:color w:val="auto"/>
              </w:rPr>
              <w:t>所稱律師酬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auto"/>
              </w:rPr>
              <w:t>金</w:t>
            </w:r>
            <w:r w:rsidR="007E2C80" w:rsidRPr="00192AEC">
              <w:rPr>
                <w:rFonts w:ascii="標楷體" w:eastAsia="標楷體" w:hAnsi="標楷體"/>
                <w:color w:val="auto"/>
              </w:rPr>
              <w:t>之範圍</w:t>
            </w:r>
            <w:r>
              <w:rPr>
                <w:rFonts w:ascii="標楷體" w:eastAsia="標楷體" w:hAnsi="標楷體" w:hint="eastAsia"/>
                <w:color w:val="auto"/>
              </w:rPr>
              <w:t>。</w:t>
            </w:r>
          </w:p>
        </w:tc>
      </w:tr>
      <w:tr w:rsidR="00192AEC" w:rsidRPr="00192AEC" w:rsidTr="006D768A">
        <w:tc>
          <w:tcPr>
            <w:tcW w:w="4486" w:type="dxa"/>
            <w:tcBorders>
              <w:top w:val="single" w:sz="4" w:space="0" w:color="000000"/>
              <w:bottom w:val="single" w:sz="4" w:space="0" w:color="000000"/>
            </w:tcBorders>
          </w:tcPr>
          <w:p w:rsidR="00192AEC" w:rsidRPr="00192AEC" w:rsidRDefault="005F6AA7" w:rsidP="00192AEC">
            <w:pPr>
              <w:pStyle w:val="1"/>
              <w:ind w:left="240" w:hangingChars="100" w:hanging="240"/>
              <w:contextualSpacing/>
              <w:jc w:val="both"/>
              <w:rPr>
                <w:rFonts w:ascii="標楷體" w:eastAsia="標楷體" w:hAnsi="標楷體" w:cs="細明體"/>
                <w:color w:val="auto"/>
              </w:rPr>
            </w:pPr>
            <w:r w:rsidRPr="00192AEC">
              <w:rPr>
                <w:rFonts w:ascii="標楷體" w:eastAsia="標楷體" w:hAnsi="標楷體" w:cs="細明體" w:hint="eastAsia"/>
                <w:color w:val="auto"/>
              </w:rPr>
              <w:t>第</w:t>
            </w:r>
            <w:r w:rsidR="002856B1" w:rsidRPr="00192AEC">
              <w:rPr>
                <w:rFonts w:ascii="標楷體" w:eastAsia="標楷體" w:hAnsi="標楷體" w:cs="細明體" w:hint="eastAsia"/>
                <w:color w:val="auto"/>
              </w:rPr>
              <w:t>三</w:t>
            </w:r>
            <w:r w:rsidRPr="00192AEC">
              <w:rPr>
                <w:rFonts w:ascii="標楷體" w:eastAsia="標楷體" w:hAnsi="標楷體" w:cs="細明體" w:hint="eastAsia"/>
                <w:color w:val="auto"/>
              </w:rPr>
              <w:t xml:space="preserve">條  </w:t>
            </w:r>
            <w:r w:rsidR="007E2C80" w:rsidRPr="00192AEC">
              <w:rPr>
                <w:rFonts w:ascii="標楷體" w:eastAsia="標楷體" w:hAnsi="標楷體" w:cs="細明體" w:hint="eastAsia"/>
                <w:color w:val="auto"/>
              </w:rPr>
              <w:t>法院裁定律師酬金，應斟酌</w:t>
            </w:r>
            <w:proofErr w:type="gramStart"/>
            <w:r w:rsidR="007E2C80" w:rsidRPr="00192AEC">
              <w:rPr>
                <w:rFonts w:ascii="標楷體" w:eastAsia="標楷體" w:hAnsi="標楷體" w:cs="細明體" w:hint="eastAsia"/>
                <w:color w:val="auto"/>
              </w:rPr>
              <w:t>案情之繁簡</w:t>
            </w:r>
            <w:proofErr w:type="gramEnd"/>
            <w:r w:rsidR="007E2C80" w:rsidRPr="00192AEC">
              <w:rPr>
                <w:rFonts w:ascii="標楷體" w:eastAsia="標楷體" w:hAnsi="標楷體" w:cs="細明體" w:hint="eastAsia"/>
                <w:color w:val="auto"/>
              </w:rPr>
              <w:t>、訴訟之結果及律師之勤</w:t>
            </w:r>
            <w:proofErr w:type="gramStart"/>
            <w:r w:rsidR="007E2C80" w:rsidRPr="00192AEC">
              <w:rPr>
                <w:rFonts w:ascii="標楷體" w:eastAsia="標楷體" w:hAnsi="標楷體" w:cs="細明體" w:hint="eastAsia"/>
                <w:color w:val="auto"/>
              </w:rPr>
              <w:t>惰</w:t>
            </w:r>
            <w:proofErr w:type="gramEnd"/>
            <w:r w:rsidR="007E2C80" w:rsidRPr="00192AEC">
              <w:rPr>
                <w:rFonts w:ascii="標楷體" w:eastAsia="標楷體" w:hAnsi="標楷體" w:cs="細明體" w:hint="eastAsia"/>
                <w:color w:val="auto"/>
              </w:rPr>
              <w:t>，</w:t>
            </w:r>
            <w:r w:rsidR="002856B1" w:rsidRPr="00192AEC">
              <w:rPr>
                <w:rFonts w:ascii="標楷體" w:eastAsia="標楷體" w:hAnsi="標楷體" w:cs="細明體" w:hint="eastAsia"/>
                <w:color w:val="auto"/>
              </w:rPr>
              <w:t>最高</w:t>
            </w:r>
            <w:proofErr w:type="gramStart"/>
            <w:r w:rsidR="002856B1" w:rsidRPr="00192AEC">
              <w:rPr>
                <w:rFonts w:ascii="標楷體" w:eastAsia="標楷體" w:hAnsi="標楷體" w:cs="細明體" w:hint="eastAsia"/>
                <w:color w:val="auto"/>
              </w:rPr>
              <w:t>不得逾新臺幣</w:t>
            </w:r>
            <w:proofErr w:type="gramEnd"/>
            <w:r w:rsidR="00C35DB2">
              <w:rPr>
                <w:rFonts w:ascii="標楷體" w:eastAsia="標楷體" w:hAnsi="標楷體" w:cs="細明體" w:hint="eastAsia"/>
                <w:color w:val="auto"/>
              </w:rPr>
              <w:t>三</w:t>
            </w:r>
            <w:r w:rsidR="008140C3">
              <w:rPr>
                <w:rFonts w:ascii="標楷體" w:eastAsia="標楷體" w:hAnsi="標楷體" w:cs="細明體" w:hint="eastAsia"/>
                <w:color w:val="auto"/>
              </w:rPr>
              <w:t>十</w:t>
            </w:r>
            <w:r w:rsidR="002856B1" w:rsidRPr="00192AEC">
              <w:rPr>
                <w:rFonts w:ascii="標楷體" w:eastAsia="標楷體" w:hAnsi="標楷體" w:cs="細明體" w:hint="eastAsia"/>
                <w:color w:val="auto"/>
              </w:rPr>
              <w:t>萬元</w:t>
            </w:r>
            <w:r w:rsidR="00192AEC" w:rsidRPr="00192AEC">
              <w:rPr>
                <w:rFonts w:ascii="標楷體" w:eastAsia="標楷體" w:hAnsi="標楷體" w:cs="細明體" w:hint="eastAsia"/>
                <w:color w:val="auto"/>
              </w:rPr>
              <w:t>；</w:t>
            </w:r>
            <w:proofErr w:type="gramStart"/>
            <w:r w:rsidR="00192AEC" w:rsidRPr="00192AEC">
              <w:rPr>
                <w:rFonts w:ascii="標楷體" w:eastAsia="標楷體" w:hAnsi="標楷體" w:cs="細明體"/>
                <w:color w:val="auto"/>
              </w:rPr>
              <w:t>數</w:t>
            </w:r>
            <w:r w:rsidR="00192AEC" w:rsidRPr="00192AEC">
              <w:rPr>
                <w:rFonts w:ascii="標楷體" w:eastAsia="標楷體" w:hAnsi="標楷體" w:cs="細明體" w:hint="eastAsia"/>
                <w:color w:val="auto"/>
              </w:rPr>
              <w:t>訴</w:t>
            </w:r>
            <w:r w:rsidR="008140C3">
              <w:rPr>
                <w:rFonts w:ascii="標楷體" w:eastAsia="標楷體" w:hAnsi="標楷體" w:cs="細明體"/>
                <w:color w:val="auto"/>
              </w:rPr>
              <w:t>合併</w:t>
            </w:r>
            <w:proofErr w:type="gramEnd"/>
            <w:r w:rsidR="008140C3">
              <w:rPr>
                <w:rFonts w:ascii="標楷體" w:eastAsia="標楷體" w:hAnsi="標楷體" w:cs="細明體"/>
                <w:color w:val="auto"/>
              </w:rPr>
              <w:t>提起者，</w:t>
            </w:r>
            <w:proofErr w:type="gramStart"/>
            <w:r w:rsidR="008140C3">
              <w:rPr>
                <w:rFonts w:ascii="標楷體" w:eastAsia="標楷體" w:hAnsi="標楷體" w:cs="細明體"/>
                <w:color w:val="auto"/>
              </w:rPr>
              <w:t>不得逾新臺幣</w:t>
            </w:r>
            <w:proofErr w:type="gramEnd"/>
            <w:r w:rsidR="00C35DB2">
              <w:rPr>
                <w:rFonts w:ascii="標楷體" w:eastAsia="標楷體" w:hAnsi="標楷體" w:cs="細明體" w:hint="eastAsia"/>
                <w:color w:val="auto"/>
              </w:rPr>
              <w:t>六</w:t>
            </w:r>
            <w:r w:rsidR="00192AEC" w:rsidRPr="00192AEC">
              <w:rPr>
                <w:rFonts w:ascii="標楷體" w:eastAsia="標楷體" w:hAnsi="標楷體" w:cs="細明體"/>
                <w:color w:val="auto"/>
              </w:rPr>
              <w:t>十萬元</w:t>
            </w:r>
            <w:r w:rsidR="002856B1" w:rsidRPr="00192AEC">
              <w:rPr>
                <w:rFonts w:ascii="標楷體" w:eastAsia="標楷體" w:hAnsi="標楷體" w:cs="細明體" w:hint="eastAsia"/>
                <w:color w:val="auto"/>
              </w:rPr>
              <w:t>。</w:t>
            </w:r>
            <w:r w:rsidR="00F56ACD">
              <w:rPr>
                <w:rFonts w:ascii="標楷體" w:eastAsia="標楷體" w:hAnsi="標楷體" w:cs="細明體" w:hint="eastAsia"/>
                <w:color w:val="auto"/>
              </w:rPr>
              <w:t>但律師與工會</w:t>
            </w:r>
            <w:r w:rsidR="007E2C80" w:rsidRPr="00192AEC">
              <w:rPr>
                <w:rFonts w:ascii="標楷體" w:eastAsia="標楷體" w:hAnsi="標楷體" w:cs="細明體" w:hint="eastAsia"/>
                <w:color w:val="auto"/>
              </w:rPr>
              <w:t>約定之酬金較低者，</w:t>
            </w:r>
            <w:proofErr w:type="gramStart"/>
            <w:r w:rsidR="007E2C80" w:rsidRPr="00192AEC">
              <w:rPr>
                <w:rFonts w:ascii="標楷體" w:eastAsia="標楷體" w:hAnsi="標楷體" w:cs="細明體" w:hint="eastAsia"/>
                <w:color w:val="auto"/>
              </w:rPr>
              <w:t>不得</w:t>
            </w:r>
            <w:r w:rsidR="008140C3">
              <w:rPr>
                <w:rFonts w:ascii="標楷體" w:eastAsia="標楷體" w:hAnsi="標楷體" w:cs="細明體" w:hint="eastAsia"/>
                <w:color w:val="auto"/>
              </w:rPr>
              <w:t>逾</w:t>
            </w:r>
            <w:r w:rsidR="007E2C80" w:rsidRPr="00192AEC">
              <w:rPr>
                <w:rFonts w:ascii="標楷體" w:eastAsia="標楷體" w:hAnsi="標楷體" w:cs="細明體" w:hint="eastAsia"/>
                <w:color w:val="auto"/>
              </w:rPr>
              <w:t>其約定</w:t>
            </w:r>
            <w:proofErr w:type="gramEnd"/>
            <w:r w:rsidR="007E2C80" w:rsidRPr="00192AEC">
              <w:rPr>
                <w:rFonts w:ascii="標楷體" w:eastAsia="標楷體" w:hAnsi="標楷體" w:cs="細明體" w:hint="eastAsia"/>
                <w:color w:val="auto"/>
              </w:rPr>
              <w:t>。</w:t>
            </w:r>
          </w:p>
          <w:p w:rsidR="005F6AA7" w:rsidRPr="00192AEC" w:rsidRDefault="00C35DB2" w:rsidP="00C35DB2">
            <w:pPr>
              <w:pStyle w:val="1"/>
              <w:ind w:leftChars="100" w:left="240"/>
              <w:contextualSpacing/>
              <w:jc w:val="both"/>
              <w:rPr>
                <w:rFonts w:ascii="標楷體" w:eastAsia="標楷體" w:hAnsi="標楷體" w:cs="細明體"/>
                <w:color w:val="auto"/>
              </w:rPr>
            </w:pPr>
            <w:r>
              <w:rPr>
                <w:rFonts w:ascii="標楷體" w:eastAsia="標楷體" w:hAnsi="標楷體" w:cs="細明體" w:hint="eastAsia"/>
                <w:color w:val="auto"/>
              </w:rPr>
              <w:t xml:space="preserve">    </w:t>
            </w:r>
            <w:r w:rsidR="007E2C80" w:rsidRPr="00192AEC">
              <w:rPr>
                <w:rFonts w:ascii="標楷體" w:eastAsia="標楷體" w:hAnsi="標楷體" w:cs="細明體" w:hint="eastAsia"/>
                <w:color w:val="auto"/>
              </w:rPr>
              <w:t>法院於裁定前，得予律師及</w:t>
            </w:r>
            <w:r w:rsidR="00F56ACD">
              <w:rPr>
                <w:rFonts w:ascii="標楷體" w:eastAsia="標楷體" w:hAnsi="標楷體" w:cs="細明體" w:hint="eastAsia"/>
                <w:color w:val="auto"/>
              </w:rPr>
              <w:t>工會</w:t>
            </w:r>
            <w:r w:rsidR="007E2C80" w:rsidRPr="00192AEC">
              <w:rPr>
                <w:rFonts w:ascii="標楷體" w:eastAsia="標楷體" w:hAnsi="標楷體" w:cs="細明體" w:hint="eastAsia"/>
                <w:color w:val="auto"/>
              </w:rPr>
              <w:t>陳述意見之機會。</w:t>
            </w:r>
          </w:p>
        </w:tc>
        <w:tc>
          <w:tcPr>
            <w:tcW w:w="4445" w:type="dxa"/>
          </w:tcPr>
          <w:p w:rsidR="005F6AA7" w:rsidRPr="00192AEC" w:rsidRDefault="007E2C80" w:rsidP="00735797">
            <w:pPr>
              <w:pStyle w:val="ac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auto"/>
              </w:rPr>
            </w:pPr>
            <w:r w:rsidRPr="00192AEC">
              <w:rPr>
                <w:rFonts w:ascii="標楷體" w:eastAsia="標楷體" w:hAnsi="標楷體"/>
                <w:color w:val="auto"/>
              </w:rPr>
              <w:t>法院酌定律師之酬金，應</w:t>
            </w:r>
            <w:r w:rsidR="00960FA8">
              <w:rPr>
                <w:rFonts w:ascii="標楷體" w:eastAsia="標楷體" w:hAnsi="標楷體" w:hint="eastAsia"/>
                <w:color w:val="auto"/>
              </w:rPr>
              <w:t>審酌</w:t>
            </w:r>
            <w:r w:rsidR="00192AEC" w:rsidRPr="00192AEC">
              <w:rPr>
                <w:rFonts w:ascii="標楷體" w:eastAsia="標楷體" w:hAnsi="標楷體" w:hint="eastAsia"/>
                <w:color w:val="auto"/>
              </w:rPr>
              <w:t>案</w:t>
            </w:r>
            <w:r w:rsidR="00960FA8">
              <w:rPr>
                <w:rFonts w:ascii="標楷體" w:eastAsia="標楷體" w:hAnsi="標楷體"/>
                <w:color w:val="auto"/>
              </w:rPr>
              <w:t>情</w:t>
            </w:r>
            <w:r w:rsidR="00192AEC" w:rsidRPr="00192AEC">
              <w:rPr>
                <w:rFonts w:ascii="標楷體" w:eastAsia="標楷體" w:hAnsi="標楷體"/>
                <w:color w:val="auto"/>
              </w:rPr>
              <w:t>繁簡</w:t>
            </w:r>
            <w:proofErr w:type="gramStart"/>
            <w:r w:rsidR="00192AEC" w:rsidRPr="00192AEC">
              <w:rPr>
                <w:rFonts w:ascii="標楷體" w:eastAsia="標楷體" w:hAnsi="標楷體"/>
                <w:color w:val="auto"/>
              </w:rPr>
              <w:t>（</w:t>
            </w:r>
            <w:proofErr w:type="gramEnd"/>
            <w:r w:rsidR="00192AEC" w:rsidRPr="00192AEC">
              <w:rPr>
                <w:rFonts w:ascii="標楷體" w:eastAsia="標楷體" w:hAnsi="標楷體"/>
                <w:color w:val="auto"/>
              </w:rPr>
              <w:t>例如：</w:t>
            </w:r>
            <w:r w:rsidR="00192AEC" w:rsidRPr="00192AEC">
              <w:rPr>
                <w:rFonts w:ascii="標楷體" w:eastAsia="標楷體" w:hAnsi="標楷體" w:hint="eastAsia"/>
                <w:color w:val="auto"/>
              </w:rPr>
              <w:t>請</w:t>
            </w:r>
            <w:r w:rsidR="00192AEC" w:rsidRPr="00192AEC">
              <w:rPr>
                <w:rFonts w:ascii="標楷體" w:eastAsia="標楷體" w:hAnsi="標楷體"/>
                <w:color w:val="auto"/>
              </w:rPr>
              <w:t>求內容</w:t>
            </w:r>
            <w:r w:rsidR="00960FA8">
              <w:rPr>
                <w:rFonts w:ascii="標楷體" w:eastAsia="標楷體" w:hAnsi="標楷體"/>
                <w:color w:val="auto"/>
              </w:rPr>
              <w:t>之繁</w:t>
            </w:r>
            <w:r w:rsidR="00960FA8">
              <w:rPr>
                <w:rFonts w:ascii="標楷體" w:eastAsia="標楷體" w:hAnsi="標楷體" w:hint="eastAsia"/>
                <w:color w:val="auto"/>
              </w:rPr>
              <w:t>雜程度</w:t>
            </w:r>
            <w:r w:rsidRPr="00192AEC">
              <w:rPr>
                <w:rFonts w:ascii="標楷體" w:eastAsia="標楷體" w:hAnsi="標楷體"/>
                <w:color w:val="auto"/>
              </w:rPr>
              <w:t>、</w:t>
            </w:r>
            <w:r w:rsidR="00192AEC" w:rsidRPr="00192AEC">
              <w:rPr>
                <w:rFonts w:ascii="標楷體" w:eastAsia="標楷體" w:hAnsi="標楷體" w:hint="eastAsia"/>
                <w:color w:val="auto"/>
              </w:rPr>
              <w:t>請</w:t>
            </w:r>
            <w:r w:rsidR="00F56ACD">
              <w:rPr>
                <w:rFonts w:ascii="標楷體" w:eastAsia="標楷體" w:hAnsi="標楷體"/>
                <w:color w:val="auto"/>
              </w:rPr>
              <w:t>求</w:t>
            </w:r>
            <w:r w:rsidR="00F56ACD">
              <w:rPr>
                <w:rFonts w:ascii="標楷體" w:eastAsia="標楷體" w:hAnsi="標楷體" w:hint="eastAsia"/>
                <w:color w:val="auto"/>
              </w:rPr>
              <w:t>工會及受侵害會員數</w:t>
            </w:r>
            <w:r w:rsidR="00960FA8">
              <w:rPr>
                <w:rFonts w:ascii="標楷體" w:eastAsia="標楷體" w:hAnsi="標楷體" w:hint="eastAsia"/>
                <w:color w:val="auto"/>
              </w:rPr>
              <w:t>多寡</w:t>
            </w:r>
            <w:r w:rsidR="00192AEC" w:rsidRPr="00192AEC">
              <w:rPr>
                <w:rFonts w:ascii="標楷體" w:eastAsia="標楷體" w:hAnsi="標楷體" w:hint="eastAsia"/>
                <w:color w:val="auto"/>
              </w:rPr>
              <w:t>等</w:t>
            </w:r>
            <w:proofErr w:type="gramStart"/>
            <w:r w:rsidR="00192AEC" w:rsidRPr="00192AEC">
              <w:rPr>
                <w:rFonts w:ascii="標楷體" w:eastAsia="標楷體" w:hAnsi="標楷體" w:hint="eastAsia"/>
                <w:color w:val="auto"/>
              </w:rPr>
              <w:t>）</w:t>
            </w:r>
            <w:proofErr w:type="gramEnd"/>
            <w:r w:rsidR="00192AEC" w:rsidRPr="00192AEC">
              <w:rPr>
                <w:rFonts w:ascii="標楷體" w:eastAsia="標楷體" w:hAnsi="標楷體"/>
                <w:color w:val="auto"/>
              </w:rPr>
              <w:t>、</w:t>
            </w:r>
            <w:r w:rsidRPr="00192AEC">
              <w:rPr>
                <w:rFonts w:ascii="標楷體" w:eastAsia="標楷體" w:hAnsi="標楷體"/>
                <w:color w:val="auto"/>
              </w:rPr>
              <w:t>訴訟之結果及律師</w:t>
            </w:r>
            <w:r w:rsidR="00192AEC" w:rsidRPr="00192AEC">
              <w:rPr>
                <w:rFonts w:ascii="標楷體" w:eastAsia="標楷體" w:hAnsi="標楷體" w:hint="eastAsia"/>
                <w:color w:val="auto"/>
              </w:rPr>
              <w:t>之</w:t>
            </w:r>
            <w:r w:rsidR="00192AEC" w:rsidRPr="00192AEC">
              <w:rPr>
                <w:rFonts w:ascii="標楷體" w:eastAsia="標楷體" w:hAnsi="標楷體"/>
                <w:color w:val="auto"/>
              </w:rPr>
              <w:t>勤</w:t>
            </w:r>
            <w:proofErr w:type="gramStart"/>
            <w:r w:rsidR="00192AEC" w:rsidRPr="00192AEC">
              <w:rPr>
                <w:rFonts w:ascii="標楷體" w:eastAsia="標楷體" w:hAnsi="標楷體"/>
                <w:color w:val="auto"/>
              </w:rPr>
              <w:t>惰</w:t>
            </w:r>
            <w:r w:rsidR="00192AEC" w:rsidRPr="00192AEC">
              <w:rPr>
                <w:rFonts w:ascii="標楷體" w:eastAsia="標楷體" w:hAnsi="標楷體" w:hint="eastAsia"/>
                <w:color w:val="auto"/>
              </w:rPr>
              <w:t>（</w:t>
            </w:r>
            <w:proofErr w:type="gramEnd"/>
            <w:r w:rsidR="00192AEC" w:rsidRPr="00192AEC">
              <w:rPr>
                <w:rFonts w:ascii="標楷體" w:eastAsia="標楷體" w:hAnsi="標楷體"/>
                <w:color w:val="auto"/>
              </w:rPr>
              <w:t>例如</w:t>
            </w:r>
            <w:r w:rsidR="00192AEC" w:rsidRPr="00192AEC">
              <w:rPr>
                <w:rFonts w:ascii="標楷體" w:eastAsia="標楷體" w:hAnsi="標楷體" w:hint="eastAsia"/>
                <w:color w:val="auto"/>
              </w:rPr>
              <w:t>：是</w:t>
            </w:r>
            <w:r w:rsidR="00192AEC" w:rsidRPr="00192AEC">
              <w:rPr>
                <w:rFonts w:ascii="標楷體" w:eastAsia="標楷體" w:hAnsi="標楷體"/>
                <w:color w:val="auto"/>
              </w:rPr>
              <w:t>否故意延</w:t>
            </w:r>
            <w:r w:rsidR="00735797">
              <w:rPr>
                <w:rFonts w:ascii="標楷體" w:eastAsia="標楷體" w:hAnsi="標楷體" w:hint="eastAsia"/>
                <w:color w:val="auto"/>
              </w:rPr>
              <w:t>滯訴訟</w:t>
            </w:r>
            <w:r w:rsidR="00192AEC" w:rsidRPr="00192AEC">
              <w:rPr>
                <w:rFonts w:ascii="標楷體" w:eastAsia="標楷體" w:hAnsi="標楷體" w:hint="eastAsia"/>
                <w:color w:val="auto"/>
              </w:rPr>
              <w:t>、</w:t>
            </w:r>
            <w:r w:rsidR="00192AEC" w:rsidRPr="00192AEC">
              <w:rPr>
                <w:rFonts w:ascii="標楷體" w:eastAsia="標楷體" w:hAnsi="標楷體"/>
                <w:color w:val="auto"/>
              </w:rPr>
              <w:t>為不必要之</w:t>
            </w:r>
            <w:r w:rsidR="00735797">
              <w:rPr>
                <w:rFonts w:ascii="標楷體" w:eastAsia="標楷體" w:hAnsi="標楷體" w:hint="eastAsia"/>
                <w:color w:val="auto"/>
              </w:rPr>
              <w:t>主張或</w:t>
            </w:r>
            <w:r w:rsidR="00192AEC" w:rsidRPr="00192AEC">
              <w:rPr>
                <w:rFonts w:ascii="標楷體" w:eastAsia="標楷體" w:hAnsi="標楷體"/>
                <w:color w:val="auto"/>
              </w:rPr>
              <w:t>爭執</w:t>
            </w:r>
            <w:r w:rsidR="00192AEC" w:rsidRPr="00192AEC">
              <w:rPr>
                <w:rFonts w:ascii="標楷體" w:eastAsia="標楷體" w:hAnsi="標楷體" w:hint="eastAsia"/>
                <w:color w:val="auto"/>
              </w:rPr>
              <w:t>等</w:t>
            </w:r>
            <w:proofErr w:type="gramStart"/>
            <w:r w:rsidR="00192AEC" w:rsidRPr="00192AEC">
              <w:rPr>
                <w:rFonts w:ascii="標楷體" w:eastAsia="標楷體" w:hAnsi="標楷體" w:hint="eastAsia"/>
                <w:color w:val="auto"/>
              </w:rPr>
              <w:t>）</w:t>
            </w:r>
            <w:proofErr w:type="gramEnd"/>
            <w:r w:rsidRPr="00192AEC">
              <w:rPr>
                <w:rFonts w:ascii="標楷體" w:eastAsia="標楷體" w:hAnsi="標楷體"/>
                <w:color w:val="auto"/>
              </w:rPr>
              <w:t>等具體情況。</w:t>
            </w:r>
            <w:proofErr w:type="gramStart"/>
            <w:r w:rsidRPr="00192AEC">
              <w:rPr>
                <w:rFonts w:ascii="標楷體" w:eastAsia="標楷體" w:hAnsi="標楷體"/>
                <w:color w:val="auto"/>
              </w:rPr>
              <w:t>惟</w:t>
            </w:r>
            <w:r w:rsidRPr="00192AEC">
              <w:rPr>
                <w:rFonts w:ascii="標楷體" w:eastAsia="標楷體" w:hAnsi="標楷體" w:hint="eastAsia"/>
                <w:color w:val="auto"/>
              </w:rPr>
              <w:t>倘</w:t>
            </w:r>
            <w:r w:rsidRPr="00192AEC">
              <w:rPr>
                <w:rFonts w:ascii="標楷體" w:eastAsia="標楷體" w:hAnsi="標楷體"/>
                <w:color w:val="auto"/>
              </w:rPr>
              <w:t>律師</w:t>
            </w:r>
            <w:proofErr w:type="gramEnd"/>
            <w:r w:rsidRPr="00192AEC">
              <w:rPr>
                <w:rFonts w:ascii="標楷體" w:eastAsia="標楷體" w:hAnsi="標楷體"/>
                <w:color w:val="auto"/>
              </w:rPr>
              <w:t>與當事人約定之酬金低於法院酌定之數額，基於契約自由原則</w:t>
            </w:r>
            <w:r w:rsidRPr="00192AEC">
              <w:rPr>
                <w:rFonts w:ascii="標楷體" w:eastAsia="標楷體" w:hAnsi="標楷體" w:hint="eastAsia"/>
                <w:color w:val="auto"/>
              </w:rPr>
              <w:t>及</w:t>
            </w:r>
            <w:r w:rsidRPr="00192AEC">
              <w:rPr>
                <w:rFonts w:ascii="標楷體" w:eastAsia="標楷體" w:hAnsi="標楷體"/>
                <w:color w:val="auto"/>
              </w:rPr>
              <w:t>當事人之信賴保護，應以</w:t>
            </w:r>
            <w:r w:rsidR="00735797">
              <w:rPr>
                <w:rFonts w:ascii="標楷體" w:eastAsia="標楷體" w:hAnsi="標楷體" w:hint="eastAsia"/>
                <w:color w:val="auto"/>
              </w:rPr>
              <w:t>該</w:t>
            </w:r>
            <w:r w:rsidRPr="00192AEC">
              <w:rPr>
                <w:rFonts w:ascii="標楷體" w:eastAsia="標楷體" w:hAnsi="標楷體"/>
                <w:color w:val="auto"/>
              </w:rPr>
              <w:t>約定之數額為限</w:t>
            </w:r>
            <w:r w:rsidR="0051416F" w:rsidRPr="00192AEC">
              <w:rPr>
                <w:rFonts w:ascii="標楷體" w:eastAsia="標楷體" w:hAnsi="標楷體" w:hint="eastAsia"/>
                <w:color w:val="auto"/>
              </w:rPr>
              <w:t>，</w:t>
            </w:r>
            <w:proofErr w:type="gramStart"/>
            <w:r w:rsidR="0051416F" w:rsidRPr="00192AEC">
              <w:rPr>
                <w:rFonts w:ascii="標楷體" w:eastAsia="標楷體" w:hAnsi="標楷體" w:hint="eastAsia"/>
                <w:color w:val="auto"/>
              </w:rPr>
              <w:t>爰</w:t>
            </w:r>
            <w:proofErr w:type="gramEnd"/>
            <w:r w:rsidR="0051416F" w:rsidRPr="00192AEC">
              <w:rPr>
                <w:rFonts w:ascii="標楷體" w:eastAsia="標楷體" w:hAnsi="標楷體" w:hint="eastAsia"/>
                <w:color w:val="auto"/>
              </w:rPr>
              <w:t>訂</w:t>
            </w:r>
            <w:r w:rsidR="0051416F" w:rsidRPr="00192AEC">
              <w:rPr>
                <w:rFonts w:ascii="標楷體" w:eastAsia="標楷體" w:hAnsi="標楷體"/>
                <w:color w:val="auto"/>
              </w:rPr>
              <w:t>定</w:t>
            </w:r>
            <w:r w:rsidR="0051416F" w:rsidRPr="00192AEC">
              <w:rPr>
                <w:rFonts w:ascii="標楷體" w:eastAsia="標楷體" w:hAnsi="標楷體" w:hint="eastAsia"/>
                <w:color w:val="auto"/>
              </w:rPr>
              <w:t>第</w:t>
            </w:r>
            <w:r w:rsidR="0051416F" w:rsidRPr="00192AEC">
              <w:rPr>
                <w:rFonts w:ascii="標楷體" w:eastAsia="標楷體" w:hAnsi="標楷體"/>
                <w:color w:val="auto"/>
              </w:rPr>
              <w:t>一項</w:t>
            </w:r>
            <w:r w:rsidRPr="00192AEC">
              <w:rPr>
                <w:rFonts w:ascii="標楷體" w:eastAsia="標楷體" w:hAnsi="標楷體"/>
                <w:color w:val="auto"/>
              </w:rPr>
              <w:t>。</w:t>
            </w:r>
          </w:p>
          <w:p w:rsidR="007E2C80" w:rsidRPr="00192AEC" w:rsidRDefault="00735797" w:rsidP="00735797">
            <w:pPr>
              <w:pStyle w:val="ac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第一項裁定攸關律師及</w:t>
            </w:r>
            <w:r w:rsidR="00F56ACD">
              <w:rPr>
                <w:rFonts w:ascii="標楷體" w:eastAsia="標楷體" w:hAnsi="標楷體" w:hint="eastAsia"/>
                <w:color w:val="auto"/>
              </w:rPr>
              <w:t>工會</w:t>
            </w:r>
            <w:r>
              <w:rPr>
                <w:rFonts w:ascii="標楷體" w:eastAsia="標楷體" w:hAnsi="標楷體" w:hint="eastAsia"/>
                <w:color w:val="auto"/>
              </w:rPr>
              <w:t>當事人權益，</w:t>
            </w:r>
            <w:r w:rsidR="0051416F" w:rsidRPr="00192AEC">
              <w:rPr>
                <w:rFonts w:ascii="標楷體" w:eastAsia="標楷體" w:hAnsi="標楷體" w:hint="eastAsia"/>
                <w:color w:val="auto"/>
              </w:rPr>
              <w:t>法</w:t>
            </w:r>
            <w:r>
              <w:rPr>
                <w:rFonts w:ascii="標楷體" w:eastAsia="標楷體" w:hAnsi="標楷體"/>
                <w:color w:val="auto"/>
              </w:rPr>
              <w:t>院於裁定前</w:t>
            </w:r>
            <w:r w:rsidR="0051416F" w:rsidRPr="00192AEC">
              <w:rPr>
                <w:rFonts w:ascii="標楷體" w:eastAsia="標楷體" w:hAnsi="標楷體"/>
                <w:color w:val="auto"/>
              </w:rPr>
              <w:t>認有必要</w:t>
            </w:r>
            <w:r>
              <w:rPr>
                <w:rFonts w:ascii="標楷體" w:eastAsia="標楷體" w:hAnsi="標楷體" w:hint="eastAsia"/>
                <w:color w:val="auto"/>
              </w:rPr>
              <w:t>時</w:t>
            </w:r>
            <w:r>
              <w:rPr>
                <w:rFonts w:ascii="標楷體" w:eastAsia="標楷體" w:hAnsi="標楷體"/>
                <w:color w:val="auto"/>
              </w:rPr>
              <w:t>，得聽取</w:t>
            </w:r>
            <w:r>
              <w:rPr>
                <w:rFonts w:ascii="標楷體" w:eastAsia="標楷體" w:hAnsi="標楷體" w:hint="eastAsia"/>
                <w:color w:val="auto"/>
              </w:rPr>
              <w:t>其</w:t>
            </w:r>
            <w:r w:rsidR="0051416F" w:rsidRPr="00192AEC">
              <w:rPr>
                <w:rFonts w:ascii="標楷體" w:eastAsia="標楷體" w:hAnsi="標楷體"/>
                <w:color w:val="auto"/>
              </w:rPr>
              <w:t>意見</w:t>
            </w:r>
            <w:r w:rsidR="0051416F" w:rsidRPr="00192AEC">
              <w:rPr>
                <w:rFonts w:ascii="標楷體" w:eastAsia="標楷體" w:hAnsi="標楷體" w:hint="eastAsia"/>
                <w:color w:val="auto"/>
              </w:rPr>
              <w:t>，</w:t>
            </w:r>
            <w:r w:rsidR="0051416F" w:rsidRPr="00192AEC">
              <w:rPr>
                <w:rFonts w:ascii="標楷體" w:eastAsia="標楷體" w:hAnsi="標楷體"/>
                <w:color w:val="auto"/>
              </w:rPr>
              <w:t>爰設第二項。</w:t>
            </w:r>
          </w:p>
        </w:tc>
      </w:tr>
      <w:tr w:rsidR="00192AEC" w:rsidRPr="00192AEC" w:rsidTr="006D768A">
        <w:tc>
          <w:tcPr>
            <w:tcW w:w="4486" w:type="dxa"/>
            <w:tcBorders>
              <w:top w:val="single" w:sz="4" w:space="0" w:color="000000"/>
              <w:bottom w:val="single" w:sz="4" w:space="0" w:color="000000"/>
            </w:tcBorders>
          </w:tcPr>
          <w:p w:rsidR="0051416F" w:rsidRPr="00192AEC" w:rsidRDefault="005F6AA7" w:rsidP="0051416F">
            <w:pPr>
              <w:pStyle w:val="1"/>
              <w:ind w:left="240" w:hangingChars="100" w:hanging="240"/>
              <w:contextualSpacing/>
              <w:jc w:val="both"/>
              <w:rPr>
                <w:rFonts w:ascii="標楷體" w:eastAsia="標楷體" w:hAnsi="標楷體" w:cs="細明體"/>
                <w:color w:val="auto"/>
              </w:rPr>
            </w:pPr>
            <w:r w:rsidRPr="00192AEC">
              <w:rPr>
                <w:rFonts w:ascii="標楷體" w:eastAsia="標楷體" w:hAnsi="標楷體" w:cs="細明體" w:hint="eastAsia"/>
                <w:color w:val="auto"/>
              </w:rPr>
              <w:t>第</w:t>
            </w:r>
            <w:r w:rsidR="002856B1" w:rsidRPr="00192AEC">
              <w:rPr>
                <w:rFonts w:ascii="標楷體" w:eastAsia="標楷體" w:hAnsi="標楷體" w:cs="細明體" w:hint="eastAsia"/>
                <w:color w:val="auto"/>
              </w:rPr>
              <w:t>四</w:t>
            </w:r>
            <w:r w:rsidRPr="00192AEC">
              <w:rPr>
                <w:rFonts w:ascii="標楷體" w:eastAsia="標楷體" w:hAnsi="標楷體" w:cs="細明體" w:hint="eastAsia"/>
                <w:color w:val="auto"/>
              </w:rPr>
              <w:t xml:space="preserve">條  </w:t>
            </w:r>
            <w:r w:rsidR="0051416F" w:rsidRPr="00192AEC">
              <w:rPr>
                <w:rFonts w:ascii="標楷體" w:eastAsia="標楷體" w:hAnsi="標楷體" w:cs="細明體" w:hint="eastAsia"/>
                <w:color w:val="auto"/>
              </w:rPr>
              <w:t>前條所定酬金，</w:t>
            </w:r>
            <w:r w:rsidR="008A089C">
              <w:rPr>
                <w:rFonts w:ascii="標楷體" w:eastAsia="標楷體" w:hAnsi="標楷體" w:cs="細明體" w:hint="eastAsia"/>
                <w:color w:val="auto"/>
              </w:rPr>
              <w:t>不</w:t>
            </w:r>
            <w:r w:rsidR="008A089C">
              <w:rPr>
                <w:rFonts w:ascii="標楷體" w:eastAsia="標楷體" w:hAnsi="標楷體" w:cs="細明體"/>
                <w:color w:val="auto"/>
              </w:rPr>
              <w:t>論律師人數，</w:t>
            </w:r>
            <w:proofErr w:type="gramStart"/>
            <w:r w:rsidR="008A089C">
              <w:rPr>
                <w:rFonts w:ascii="標楷體" w:eastAsia="標楷體" w:hAnsi="標楷體" w:cs="細明體"/>
                <w:color w:val="auto"/>
              </w:rPr>
              <w:t>均</w:t>
            </w:r>
            <w:r w:rsidR="0051416F" w:rsidRPr="00192AEC">
              <w:rPr>
                <w:rFonts w:ascii="標楷體" w:eastAsia="標楷體" w:hAnsi="標楷體" w:cs="細明體" w:hint="eastAsia"/>
                <w:color w:val="auto"/>
              </w:rPr>
              <w:t>按件</w:t>
            </w:r>
            <w:proofErr w:type="gramEnd"/>
            <w:r w:rsidR="0051416F" w:rsidRPr="00192AEC">
              <w:rPr>
                <w:rFonts w:ascii="標楷體" w:eastAsia="標楷體" w:hAnsi="標楷體" w:cs="細明體" w:hint="eastAsia"/>
                <w:color w:val="auto"/>
              </w:rPr>
              <w:t>數計算。</w:t>
            </w:r>
          </w:p>
          <w:p w:rsidR="005F6AA7" w:rsidRPr="00192AEC" w:rsidRDefault="005F6AA7" w:rsidP="005F6AA7">
            <w:pPr>
              <w:pStyle w:val="1"/>
              <w:ind w:leftChars="100" w:left="240" w:firstLineChars="200" w:firstLine="480"/>
              <w:contextualSpacing/>
              <w:jc w:val="both"/>
              <w:rPr>
                <w:rFonts w:ascii="標楷體" w:eastAsia="標楷體" w:hAnsi="標楷體" w:cs="細明體"/>
                <w:color w:val="auto"/>
              </w:rPr>
            </w:pPr>
          </w:p>
        </w:tc>
        <w:tc>
          <w:tcPr>
            <w:tcW w:w="4445" w:type="dxa"/>
          </w:tcPr>
          <w:p w:rsidR="005F6AA7" w:rsidRPr="00192AEC" w:rsidRDefault="005F6AA7" w:rsidP="00735797">
            <w:pPr>
              <w:pStyle w:val="aa"/>
              <w:spacing w:line="240" w:lineRule="auto"/>
              <w:ind w:leftChars="-455" w:left="-2" w:hangingChars="454" w:hanging="1090"/>
              <w:rPr>
                <w:rFonts w:ascii="標楷體" w:hAnsi="標楷體"/>
                <w:sz w:val="24"/>
              </w:rPr>
            </w:pPr>
            <w:r w:rsidRPr="00192AEC">
              <w:rPr>
                <w:rFonts w:ascii="標楷體" w:hAnsi="標楷體" w:hint="eastAsia"/>
                <w:sz w:val="24"/>
              </w:rPr>
              <w:t>為　一、</w:t>
            </w:r>
            <w:r w:rsidR="0051416F" w:rsidRPr="00192AEC">
              <w:rPr>
                <w:rFonts w:ascii="標楷體" w:hAnsi="標楷體" w:hint="eastAsia"/>
                <w:sz w:val="24"/>
              </w:rPr>
              <w:t xml:space="preserve"> </w:t>
            </w:r>
            <w:r w:rsidR="00735797">
              <w:rPr>
                <w:rFonts w:ascii="標楷體" w:hAnsi="標楷體" w:hint="eastAsia"/>
                <w:sz w:val="24"/>
              </w:rPr>
              <w:t>當事人</w:t>
            </w:r>
            <w:r w:rsidR="0051416F" w:rsidRPr="00192AEC">
              <w:rPr>
                <w:rFonts w:ascii="標楷體" w:hAnsi="標楷體" w:hint="eastAsia"/>
                <w:sz w:val="24"/>
              </w:rPr>
              <w:t>委</w:t>
            </w:r>
            <w:r w:rsidR="0051416F" w:rsidRPr="00192AEC">
              <w:rPr>
                <w:rFonts w:ascii="標楷體" w:hAnsi="標楷體"/>
                <w:sz w:val="24"/>
              </w:rPr>
              <w:t>任</w:t>
            </w:r>
            <w:r w:rsidR="00735797">
              <w:rPr>
                <w:rFonts w:ascii="標楷體" w:hAnsi="標楷體" w:hint="eastAsia"/>
                <w:sz w:val="24"/>
              </w:rPr>
              <w:t>之</w:t>
            </w:r>
            <w:r w:rsidR="0051416F" w:rsidRPr="00192AEC">
              <w:rPr>
                <w:rFonts w:ascii="標楷體" w:hAnsi="標楷體"/>
                <w:sz w:val="24"/>
              </w:rPr>
              <w:t>律師</w:t>
            </w:r>
            <w:r w:rsidR="00735797">
              <w:rPr>
                <w:rFonts w:ascii="標楷體" w:hAnsi="標楷體" w:hint="eastAsia"/>
                <w:sz w:val="24"/>
              </w:rPr>
              <w:t>有</w:t>
            </w:r>
            <w:r w:rsidR="0051416F" w:rsidRPr="00192AEC">
              <w:rPr>
                <w:rFonts w:ascii="標楷體" w:hAnsi="標楷體"/>
                <w:sz w:val="24"/>
              </w:rPr>
              <w:t>二人以上者，其</w:t>
            </w:r>
            <w:r w:rsidR="00735797">
              <w:rPr>
                <w:rFonts w:ascii="標楷體" w:hAnsi="標楷體" w:hint="eastAsia"/>
                <w:sz w:val="24"/>
              </w:rPr>
              <w:t>得</w:t>
            </w:r>
            <w:r w:rsidR="0051416F" w:rsidRPr="00192AEC">
              <w:rPr>
                <w:rFonts w:ascii="標楷體" w:hAnsi="標楷體"/>
                <w:sz w:val="24"/>
              </w:rPr>
              <w:t>分工</w:t>
            </w:r>
            <w:r w:rsidR="00735797">
              <w:rPr>
                <w:rFonts w:ascii="標楷體" w:hAnsi="標楷體" w:hint="eastAsia"/>
                <w:sz w:val="24"/>
              </w:rPr>
              <w:t>完成</w:t>
            </w:r>
            <w:r w:rsidR="0051416F" w:rsidRPr="00192AEC">
              <w:rPr>
                <w:rFonts w:ascii="標楷體" w:hAnsi="標楷體"/>
                <w:sz w:val="24"/>
              </w:rPr>
              <w:t>，故仍按件數計算酬金。</w:t>
            </w:r>
          </w:p>
        </w:tc>
      </w:tr>
      <w:tr w:rsidR="00192AEC" w:rsidRPr="00192AEC" w:rsidTr="006D768A">
        <w:tc>
          <w:tcPr>
            <w:tcW w:w="4486" w:type="dxa"/>
            <w:tcBorders>
              <w:top w:val="single" w:sz="4" w:space="0" w:color="000000"/>
              <w:bottom w:val="single" w:sz="4" w:space="0" w:color="000000"/>
            </w:tcBorders>
          </w:tcPr>
          <w:p w:rsidR="005F6AA7" w:rsidRPr="00192AEC" w:rsidRDefault="005F6AA7" w:rsidP="008E5710">
            <w:pPr>
              <w:pStyle w:val="1"/>
              <w:ind w:left="240" w:hangingChars="100" w:hanging="240"/>
              <w:contextualSpacing/>
              <w:jc w:val="both"/>
              <w:rPr>
                <w:rFonts w:ascii="標楷體" w:eastAsia="標楷體" w:hAnsi="標楷體" w:cs="細明體"/>
                <w:color w:val="auto"/>
              </w:rPr>
            </w:pPr>
            <w:r w:rsidRPr="00192AEC">
              <w:rPr>
                <w:rFonts w:ascii="標楷體" w:eastAsia="標楷體" w:hAnsi="標楷體" w:cs="細明體" w:hint="eastAsia"/>
                <w:color w:val="auto"/>
              </w:rPr>
              <w:t>第</w:t>
            </w:r>
            <w:r w:rsidR="002856B1" w:rsidRPr="00192AEC">
              <w:rPr>
                <w:rFonts w:ascii="標楷體" w:eastAsia="標楷體" w:hAnsi="標楷體" w:cs="細明體" w:hint="eastAsia"/>
                <w:color w:val="auto"/>
              </w:rPr>
              <w:t>五</w:t>
            </w:r>
            <w:r w:rsidRPr="00192AEC">
              <w:rPr>
                <w:rFonts w:ascii="標楷體" w:eastAsia="標楷體" w:hAnsi="標楷體" w:cs="細明體" w:hint="eastAsia"/>
                <w:color w:val="auto"/>
              </w:rPr>
              <w:t xml:space="preserve">條  </w:t>
            </w:r>
            <w:r w:rsidR="0051416F" w:rsidRPr="00192AEC">
              <w:rPr>
                <w:rFonts w:ascii="標楷體" w:eastAsia="標楷體" w:hAnsi="標楷體" w:cs="細明體" w:hint="eastAsia"/>
                <w:color w:val="auto"/>
              </w:rPr>
              <w:t>本標</w:t>
            </w:r>
            <w:r w:rsidR="0051416F" w:rsidRPr="00192AEC">
              <w:rPr>
                <w:rFonts w:ascii="標楷體" w:eastAsia="標楷體" w:hAnsi="標楷體" w:cs="細明體"/>
                <w:color w:val="auto"/>
              </w:rPr>
              <w:t>準自中</w:t>
            </w:r>
            <w:r w:rsidR="0051416F" w:rsidRPr="00192AEC">
              <w:rPr>
                <w:rFonts w:ascii="標楷體" w:eastAsia="標楷體" w:hAnsi="標楷體" w:cs="細明體" w:hint="eastAsia"/>
                <w:color w:val="auto"/>
              </w:rPr>
              <w:t>華</w:t>
            </w:r>
            <w:r w:rsidR="0051416F" w:rsidRPr="00192AEC">
              <w:rPr>
                <w:rFonts w:ascii="標楷體" w:eastAsia="標楷體" w:hAnsi="標楷體" w:cs="細明體"/>
                <w:color w:val="auto"/>
              </w:rPr>
              <w:t>民國</w:t>
            </w:r>
            <w:r w:rsidR="008E5710" w:rsidRPr="008E5710">
              <w:rPr>
                <w:rFonts w:ascii="標楷體" w:eastAsia="標楷體" w:hAnsi="標楷體" w:hint="eastAsia"/>
              </w:rPr>
              <w:t>一</w:t>
            </w:r>
            <w:r w:rsidR="008E5710" w:rsidRPr="008E5710">
              <w:rPr>
                <w:rFonts w:ascii="標楷體" w:eastAsia="標楷體" w:hAnsi="標楷體"/>
              </w:rPr>
              <w:t>百零</w:t>
            </w:r>
            <w:r w:rsidR="008E5710" w:rsidRPr="008E5710">
              <w:rPr>
                <w:rFonts w:ascii="標楷體" w:eastAsia="標楷體" w:hAnsi="標楷體" w:hint="eastAsia"/>
              </w:rPr>
              <w:t>九</w:t>
            </w:r>
            <w:r w:rsidR="008E5710" w:rsidRPr="008E5710">
              <w:rPr>
                <w:rFonts w:ascii="標楷體" w:eastAsia="標楷體" w:hAnsi="標楷體"/>
              </w:rPr>
              <w:t>年</w:t>
            </w:r>
            <w:r w:rsidR="008E5710" w:rsidRPr="008E5710">
              <w:rPr>
                <w:rFonts w:ascii="標楷體" w:eastAsia="標楷體" w:hAnsi="標楷體" w:hint="eastAsia"/>
              </w:rPr>
              <w:t>一月一</w:t>
            </w:r>
            <w:r w:rsidR="008E5710" w:rsidRPr="008E5710">
              <w:rPr>
                <w:rFonts w:ascii="標楷體" w:eastAsia="標楷體" w:hAnsi="標楷體"/>
              </w:rPr>
              <w:t>日施行</w:t>
            </w:r>
            <w:r w:rsidR="0051416F" w:rsidRPr="008E5710">
              <w:rPr>
                <w:rFonts w:ascii="標楷體" w:eastAsia="標楷體" w:hAnsi="標楷體" w:cs="細明體"/>
                <w:color w:val="auto"/>
              </w:rPr>
              <w:t>。</w:t>
            </w:r>
          </w:p>
        </w:tc>
        <w:tc>
          <w:tcPr>
            <w:tcW w:w="4445" w:type="dxa"/>
          </w:tcPr>
          <w:p w:rsidR="00F34D81" w:rsidRPr="00192AEC" w:rsidRDefault="0051416F" w:rsidP="0051416F">
            <w:pPr>
              <w:rPr>
                <w:rFonts w:ascii="標楷體" w:eastAsia="標楷體" w:hAnsi="標楷體"/>
                <w:color w:val="auto"/>
              </w:rPr>
            </w:pPr>
            <w:r w:rsidRPr="00192AEC">
              <w:rPr>
                <w:rFonts w:ascii="標楷體" w:eastAsia="標楷體" w:hAnsi="標楷體" w:hint="eastAsia"/>
                <w:color w:val="auto"/>
              </w:rPr>
              <w:t>配</w:t>
            </w:r>
            <w:r w:rsidRPr="00192AEC">
              <w:rPr>
                <w:rFonts w:ascii="標楷體" w:eastAsia="標楷體" w:hAnsi="標楷體"/>
                <w:color w:val="auto"/>
              </w:rPr>
              <w:t>合勞動事件法之施行，明定本</w:t>
            </w:r>
            <w:r w:rsidRPr="00192AEC">
              <w:rPr>
                <w:rFonts w:ascii="標楷體" w:eastAsia="標楷體" w:hAnsi="標楷體" w:hint="eastAsia"/>
                <w:color w:val="auto"/>
              </w:rPr>
              <w:t>標</w:t>
            </w:r>
            <w:r w:rsidRPr="00192AEC">
              <w:rPr>
                <w:rFonts w:ascii="標楷體" w:eastAsia="標楷體" w:hAnsi="標楷體"/>
                <w:color w:val="auto"/>
              </w:rPr>
              <w:t>準之施行日期。</w:t>
            </w:r>
          </w:p>
        </w:tc>
      </w:tr>
    </w:tbl>
    <w:p w:rsidR="00A4085E" w:rsidRPr="00192AEC" w:rsidRDefault="00CD47BD">
      <w:pPr>
        <w:rPr>
          <w:color w:val="auto"/>
        </w:rPr>
      </w:pPr>
    </w:p>
    <w:sectPr w:rsidR="00A4085E" w:rsidRPr="00192AE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7BD" w:rsidRDefault="00CD47BD" w:rsidP="006D768A">
      <w:r>
        <w:separator/>
      </w:r>
    </w:p>
  </w:endnote>
  <w:endnote w:type="continuationSeparator" w:id="0">
    <w:p w:rsidR="00CD47BD" w:rsidRDefault="00CD47BD" w:rsidP="006D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5303950"/>
      <w:docPartObj>
        <w:docPartGallery w:val="Page Numbers (Bottom of Page)"/>
        <w:docPartUnique/>
      </w:docPartObj>
    </w:sdtPr>
    <w:sdtEndPr/>
    <w:sdtContent>
      <w:p w:rsidR="006D768A" w:rsidRDefault="006D76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980" w:rsidRPr="00250980">
          <w:rPr>
            <w:noProof/>
            <w:lang w:val="zh-TW"/>
          </w:rPr>
          <w:t>1</w:t>
        </w:r>
        <w:r>
          <w:fldChar w:fldCharType="end"/>
        </w:r>
      </w:p>
    </w:sdtContent>
  </w:sdt>
  <w:p w:rsidR="006D768A" w:rsidRDefault="006D76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7BD" w:rsidRDefault="00CD47BD" w:rsidP="006D768A">
      <w:r>
        <w:separator/>
      </w:r>
    </w:p>
  </w:footnote>
  <w:footnote w:type="continuationSeparator" w:id="0">
    <w:p w:rsidR="00CD47BD" w:rsidRDefault="00CD47BD" w:rsidP="006D7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F2FF1"/>
    <w:multiLevelType w:val="hybridMultilevel"/>
    <w:tmpl w:val="ED7646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8A"/>
    <w:rsid w:val="0000016E"/>
    <w:rsid w:val="000040F3"/>
    <w:rsid w:val="0003066C"/>
    <w:rsid w:val="000858F9"/>
    <w:rsid w:val="000B2784"/>
    <w:rsid w:val="000F3C1A"/>
    <w:rsid w:val="00114FF2"/>
    <w:rsid w:val="001531D8"/>
    <w:rsid w:val="00192AEC"/>
    <w:rsid w:val="00236619"/>
    <w:rsid w:val="0023730F"/>
    <w:rsid w:val="00247B2D"/>
    <w:rsid w:val="00250980"/>
    <w:rsid w:val="002856B1"/>
    <w:rsid w:val="002A0F93"/>
    <w:rsid w:val="002C532F"/>
    <w:rsid w:val="00392C78"/>
    <w:rsid w:val="00396547"/>
    <w:rsid w:val="004241C9"/>
    <w:rsid w:val="00424D09"/>
    <w:rsid w:val="00504087"/>
    <w:rsid w:val="0051416F"/>
    <w:rsid w:val="0056309F"/>
    <w:rsid w:val="005853BC"/>
    <w:rsid w:val="00593E99"/>
    <w:rsid w:val="005C0867"/>
    <w:rsid w:val="005D1DAC"/>
    <w:rsid w:val="005F6AA7"/>
    <w:rsid w:val="006043EC"/>
    <w:rsid w:val="00632811"/>
    <w:rsid w:val="006D768A"/>
    <w:rsid w:val="006E3D61"/>
    <w:rsid w:val="00721F74"/>
    <w:rsid w:val="00735797"/>
    <w:rsid w:val="00735FC7"/>
    <w:rsid w:val="00744E1A"/>
    <w:rsid w:val="007908A5"/>
    <w:rsid w:val="007E2C80"/>
    <w:rsid w:val="008140C3"/>
    <w:rsid w:val="00817298"/>
    <w:rsid w:val="00886EF1"/>
    <w:rsid w:val="008A089C"/>
    <w:rsid w:val="008E5710"/>
    <w:rsid w:val="009072EB"/>
    <w:rsid w:val="00950B7D"/>
    <w:rsid w:val="00960FA8"/>
    <w:rsid w:val="009751FF"/>
    <w:rsid w:val="009C66C9"/>
    <w:rsid w:val="00A5470D"/>
    <w:rsid w:val="00A92B7B"/>
    <w:rsid w:val="00AB55B5"/>
    <w:rsid w:val="00AF35A4"/>
    <w:rsid w:val="00B023C8"/>
    <w:rsid w:val="00B70994"/>
    <w:rsid w:val="00BC1532"/>
    <w:rsid w:val="00BD2A5D"/>
    <w:rsid w:val="00BF6F89"/>
    <w:rsid w:val="00C208DB"/>
    <w:rsid w:val="00C35DB2"/>
    <w:rsid w:val="00C52042"/>
    <w:rsid w:val="00CB53B3"/>
    <w:rsid w:val="00CD47BD"/>
    <w:rsid w:val="00D87BC3"/>
    <w:rsid w:val="00DA6953"/>
    <w:rsid w:val="00DE3592"/>
    <w:rsid w:val="00E6357B"/>
    <w:rsid w:val="00EB3B94"/>
    <w:rsid w:val="00EB6380"/>
    <w:rsid w:val="00EF3DF7"/>
    <w:rsid w:val="00F34D81"/>
    <w:rsid w:val="00F56ACD"/>
    <w:rsid w:val="00FC5D85"/>
    <w:rsid w:val="00F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31B966-9A52-472F-A634-90B2D9F7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68A"/>
    <w:pPr>
      <w:widowControl w:val="0"/>
    </w:pPr>
    <w:rPr>
      <w:rFonts w:ascii="Calibri" w:eastAsia="新細明體" w:hAnsi="Calibri" w:cs="Calibri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uiPriority w:val="99"/>
    <w:qFormat/>
    <w:rsid w:val="006D768A"/>
    <w:pPr>
      <w:widowControl w:val="0"/>
    </w:pPr>
    <w:rPr>
      <w:rFonts w:ascii="Calibri" w:eastAsia="新細明體" w:hAnsi="Calibri" w:cs="Calibri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D7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768A"/>
    <w:rPr>
      <w:rFonts w:ascii="Calibri" w:eastAsia="新細明體" w:hAnsi="Calibri" w:cs="Calibri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7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768A"/>
    <w:rPr>
      <w:rFonts w:ascii="Calibri" w:eastAsia="新細明體" w:hAnsi="Calibri" w:cs="Calibri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85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858F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Body Text Indent"/>
    <w:basedOn w:val="a"/>
    <w:link w:val="ab"/>
    <w:rsid w:val="005F6AA7"/>
    <w:pPr>
      <w:spacing w:line="0" w:lineRule="atLeast"/>
      <w:ind w:leftChars="-221" w:left="30" w:hangingChars="200" w:hanging="560"/>
    </w:pPr>
    <w:rPr>
      <w:rFonts w:ascii="Times New Roman" w:eastAsia="標楷體" w:hAnsi="Times New Roman" w:cs="Times New Roman"/>
      <w:color w:val="auto"/>
      <w:kern w:val="2"/>
      <w:sz w:val="28"/>
    </w:rPr>
  </w:style>
  <w:style w:type="character" w:customStyle="1" w:styleId="ab">
    <w:name w:val="本文縮排 字元"/>
    <w:basedOn w:val="a0"/>
    <w:link w:val="aa"/>
    <w:rsid w:val="005F6AA7"/>
    <w:rPr>
      <w:rFonts w:ascii="Times New Roman" w:eastAsia="標楷體" w:hAnsi="Times New Roman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7E2C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2019-09-10T11:20:00Z</cp:lastPrinted>
  <dcterms:created xsi:type="dcterms:W3CDTF">2019-08-12T04:04:00Z</dcterms:created>
  <dcterms:modified xsi:type="dcterms:W3CDTF">2019-09-10T11:43:00Z</dcterms:modified>
</cp:coreProperties>
</file>