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40" w:rsidRDefault="00C24D40"/>
    <w:tbl>
      <w:tblPr>
        <w:tblpPr w:leftFromText="180" w:rightFromText="180" w:vertAnchor="text" w:horzAnchor="margin" w:tblpY="165"/>
        <w:tblW w:w="920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8"/>
        <w:gridCol w:w="6794"/>
      </w:tblGrid>
      <w:tr w:rsidR="00C24D40" w:rsidRPr="001F2C7C" w:rsidTr="009464F5">
        <w:trPr>
          <w:trHeight w:val="1971"/>
        </w:trPr>
        <w:tc>
          <w:tcPr>
            <w:tcW w:w="2408" w:type="dxa"/>
            <w:vAlign w:val="center"/>
          </w:tcPr>
          <w:p w:rsidR="00C24D40" w:rsidRPr="001F2C7C" w:rsidRDefault="006910E0" w:rsidP="00C24D40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 w:rsidRPr="00C24D40"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1478604" cy="1492961"/>
                  <wp:effectExtent l="0" t="0" r="0" b="0"/>
                  <wp:docPr id="1" name="圖片 1" descr="A5-01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5-01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2" cy="1502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4D40">
              <w:rPr>
                <w:rFonts w:hint="eastAsia"/>
              </w:rPr>
              <w:t xml:space="preserve">   </w:t>
            </w:r>
          </w:p>
        </w:tc>
        <w:tc>
          <w:tcPr>
            <w:tcW w:w="6794" w:type="dxa"/>
            <w:shd w:val="clear" w:color="auto" w:fill="auto"/>
          </w:tcPr>
          <w:p w:rsidR="00C24D40" w:rsidRPr="00610024" w:rsidRDefault="00C24D40" w:rsidP="009A59A9">
            <w:pPr>
              <w:ind w:firstLineChars="100" w:firstLine="561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臺灣高等法</w:t>
            </w:r>
            <w:r w:rsidRPr="0042056C">
              <w:rPr>
                <w:rFonts w:ascii="標楷體" w:eastAsia="標楷體" w:hAnsi="標楷體" w:hint="eastAsia"/>
                <w:b/>
                <w:sz w:val="56"/>
                <w:szCs w:val="56"/>
              </w:rPr>
              <w:t>院</w:t>
            </w:r>
            <w:r w:rsidRPr="001F2C7C">
              <w:rPr>
                <w:rFonts w:ascii="標楷體" w:eastAsia="標楷體" w:hAnsi="標楷體" w:hint="eastAsia"/>
                <w:b/>
                <w:sz w:val="56"/>
                <w:szCs w:val="56"/>
              </w:rPr>
              <w:t>新聞稿</w:t>
            </w:r>
          </w:p>
          <w:p w:rsidR="00C24D40" w:rsidRPr="00D57F83" w:rsidRDefault="00C24D40" w:rsidP="00C24D40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發稿日期：10</w:t>
            </w:r>
            <w:r w:rsidR="001D107B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7A7934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A79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C24D40" w:rsidRPr="0042056C" w:rsidRDefault="00C24D40" w:rsidP="00C24D40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發稿單位：</w:t>
            </w:r>
            <w:r w:rsidR="007A7934">
              <w:rPr>
                <w:rFonts w:ascii="標楷體" w:eastAsia="標楷體" w:hAnsi="標楷體" w:hint="eastAsia"/>
                <w:sz w:val="28"/>
                <w:szCs w:val="28"/>
              </w:rPr>
              <w:t>公共關係室</w:t>
            </w:r>
          </w:p>
          <w:p w:rsidR="00C24D40" w:rsidRPr="0042056C" w:rsidRDefault="00C24D40" w:rsidP="00C24D40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連絡人：</w:t>
            </w:r>
            <w:r w:rsidR="007A7934">
              <w:rPr>
                <w:rFonts w:ascii="標楷體" w:eastAsia="標楷體" w:hAnsi="標楷體" w:hint="eastAsia"/>
                <w:sz w:val="28"/>
                <w:szCs w:val="28"/>
              </w:rPr>
              <w:t>法官兼書記</w:t>
            </w:r>
            <w:bookmarkStart w:id="0" w:name="_GoBack"/>
            <w:bookmarkEnd w:id="0"/>
            <w:r w:rsidR="007A7934">
              <w:rPr>
                <w:rFonts w:ascii="標楷體" w:eastAsia="標楷體" w:hAnsi="標楷體" w:hint="eastAsia"/>
                <w:sz w:val="28"/>
                <w:szCs w:val="28"/>
              </w:rPr>
              <w:t>官長</w:t>
            </w:r>
            <w:r w:rsidR="004150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A7934">
              <w:rPr>
                <w:rFonts w:ascii="標楷體" w:eastAsia="標楷體" w:hAnsi="標楷體" w:hint="eastAsia"/>
                <w:sz w:val="28"/>
                <w:szCs w:val="28"/>
              </w:rPr>
              <w:t>邱忠義</w:t>
            </w:r>
            <w:r w:rsidRPr="0042056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C24D40" w:rsidRPr="001F2C7C" w:rsidRDefault="00C24D40" w:rsidP="00DC41A4">
            <w:pPr>
              <w:spacing w:line="0" w:lineRule="atLeast"/>
              <w:ind w:firstLineChars="375" w:firstLine="1050"/>
              <w:jc w:val="both"/>
              <w:rPr>
                <w:rFonts w:ascii="華康隸書體W7"/>
                <w:b/>
                <w:sz w:val="56"/>
                <w:szCs w:val="56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Pr="0042056C">
              <w:rPr>
                <w:rFonts w:ascii="標楷體" w:eastAsia="標楷體" w:hAnsi="標楷體" w:hint="eastAsia"/>
                <w:sz w:val="28"/>
                <w:szCs w:val="28"/>
              </w:rPr>
              <w:t>02-23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713261#</w:t>
            </w:r>
            <w:r w:rsidR="007A7934" w:rsidRPr="00415080">
              <w:rPr>
                <w:rFonts w:ascii="標楷體" w:eastAsia="標楷體" w:hAnsi="標楷體"/>
                <w:sz w:val="28"/>
              </w:rPr>
              <w:t>8004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46202">
              <w:rPr>
                <w:rFonts w:ascii="標楷體" w:eastAsia="標楷體" w:hAnsi="標楷體" w:hint="eastAsia"/>
              </w:rPr>
              <w:t xml:space="preserve"> </w:t>
            </w:r>
            <w:r w:rsidR="0087231A">
              <w:rPr>
                <w:rFonts w:ascii="標楷體" w:eastAsia="標楷體" w:hAnsi="標楷體"/>
              </w:rPr>
              <w:t xml:space="preserve">  </w:t>
            </w:r>
            <w:r w:rsidRPr="00DC41A4">
              <w:rPr>
                <w:rFonts w:ascii="標楷體" w:eastAsia="標楷體" w:hAnsi="標楷體" w:hint="eastAsia"/>
              </w:rPr>
              <w:t>編號：10</w:t>
            </w:r>
            <w:r w:rsidR="00EF4E99" w:rsidRPr="00DC41A4">
              <w:rPr>
                <w:rFonts w:ascii="標楷體" w:eastAsia="標楷體" w:hAnsi="標楷體"/>
              </w:rPr>
              <w:t>8</w:t>
            </w:r>
            <w:r w:rsidRPr="00DC41A4">
              <w:rPr>
                <w:rFonts w:ascii="標楷體" w:eastAsia="標楷體" w:hAnsi="標楷體" w:hint="eastAsia"/>
              </w:rPr>
              <w:t>-</w:t>
            </w:r>
            <w:r w:rsidR="00DC41A4">
              <w:rPr>
                <w:rFonts w:ascii="標楷體" w:eastAsia="標楷體" w:hAnsi="標楷體"/>
              </w:rPr>
              <w:t>1</w:t>
            </w:r>
            <w:r w:rsidRPr="00DC41A4"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C24D40" w:rsidRDefault="0087231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28818</wp:posOffset>
                </wp:positionH>
                <wp:positionV relativeFrom="paragraph">
                  <wp:posOffset>1935184</wp:posOffset>
                </wp:positionV>
                <wp:extent cx="5476673" cy="0"/>
                <wp:effectExtent l="0" t="19050" r="29210" b="19050"/>
                <wp:wrapNone/>
                <wp:docPr id="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67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F560E" id="Line 17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25pt,152.4pt" to="433.5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mN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" strokeweight="2.25pt">
                <w10:wrap anchorx="margin"/>
              </v:line>
            </w:pict>
          </mc:Fallback>
        </mc:AlternateContent>
      </w:r>
    </w:p>
    <w:p w:rsidR="00506056" w:rsidRPr="00506056" w:rsidRDefault="00506056" w:rsidP="009A59A9">
      <w:pPr>
        <w:widowControl/>
        <w:spacing w:line="360" w:lineRule="auto"/>
        <w:ind w:leftChars="200" w:left="480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506056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臺灣高等法院</w:t>
      </w:r>
      <w:r w:rsidRPr="00506056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與新北市政府合作推動「第二審法院訴訟程序視訊諮詢服務」新聞稿</w:t>
      </w:r>
    </w:p>
    <w:p w:rsidR="00506056" w:rsidRPr="00506056" w:rsidRDefault="00506056" w:rsidP="00506056">
      <w:pPr>
        <w:adjustRightIn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06056">
        <w:rPr>
          <w:rFonts w:ascii="標楷體" w:eastAsia="標楷體" w:hAnsi="標楷體" w:hint="eastAsia"/>
          <w:sz w:val="28"/>
          <w:szCs w:val="28"/>
        </w:rPr>
        <w:t>司法院為提升便民禮民效能，減少民眾往返法院之</w:t>
      </w:r>
      <w:proofErr w:type="gramStart"/>
      <w:r w:rsidRPr="00506056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Pr="00506056">
        <w:rPr>
          <w:rFonts w:ascii="標楷體" w:eastAsia="標楷體" w:hAnsi="標楷體" w:hint="eastAsia"/>
          <w:sz w:val="28"/>
          <w:szCs w:val="28"/>
        </w:rPr>
        <w:t>費，並結合地方政府資源，應用科技設備，讓偏遠地區之民眾不用親自到法院諮詢即可獲得服務，規劃以視訊方式提供訴訟程序諮詢，使民眾就近獲得司法協助，實踐司法為民理念。此項</w:t>
      </w:r>
      <w:proofErr w:type="gramStart"/>
      <w:r w:rsidRPr="00506056">
        <w:rPr>
          <w:rFonts w:ascii="標楷體" w:eastAsia="標楷體" w:hAnsi="標楷體" w:hint="eastAsia"/>
          <w:sz w:val="28"/>
          <w:szCs w:val="28"/>
        </w:rPr>
        <w:t>Ｅ</w:t>
      </w:r>
      <w:proofErr w:type="gramEnd"/>
      <w:r w:rsidRPr="00506056">
        <w:rPr>
          <w:rFonts w:ascii="標楷體" w:eastAsia="標楷體" w:hAnsi="標楷體" w:hint="eastAsia"/>
          <w:sz w:val="28"/>
          <w:szCs w:val="28"/>
        </w:rPr>
        <w:t>化措施於106年7月3日經臺灣新北地方法院與新北市政府合作推行，</w:t>
      </w:r>
      <w:r w:rsidR="00DA5E62">
        <w:rPr>
          <w:rFonts w:ascii="標楷體" w:eastAsia="標楷體" w:hAnsi="標楷體" w:hint="eastAsia"/>
          <w:sz w:val="28"/>
          <w:szCs w:val="28"/>
        </w:rPr>
        <w:t>成效良好，</w:t>
      </w:r>
      <w:r w:rsidRPr="00506056">
        <w:rPr>
          <w:rFonts w:ascii="標楷體" w:eastAsia="標楷體" w:hAnsi="標楷體" w:hint="eastAsia"/>
          <w:sz w:val="28"/>
          <w:szCs w:val="28"/>
        </w:rPr>
        <w:t>獲得民眾高滿意度，司法院規劃擴大視訊諮詢服務之範圍，於108年3</w:t>
      </w:r>
      <w:r w:rsidR="00431EC4">
        <w:rPr>
          <w:rFonts w:ascii="標楷體" w:eastAsia="標楷體" w:hAnsi="標楷體" w:hint="eastAsia"/>
          <w:sz w:val="28"/>
          <w:szCs w:val="28"/>
        </w:rPr>
        <w:t>月</w:t>
      </w:r>
      <w:r w:rsidRPr="00506056">
        <w:rPr>
          <w:rFonts w:ascii="標楷體" w:eastAsia="標楷體" w:hAnsi="標楷體" w:hint="eastAsia"/>
          <w:sz w:val="28"/>
          <w:szCs w:val="28"/>
        </w:rPr>
        <w:t>函所屬法院</w:t>
      </w:r>
      <w:r w:rsidR="00EB0558">
        <w:rPr>
          <w:rFonts w:ascii="標楷體" w:eastAsia="標楷體" w:hAnsi="標楷體" w:hint="eastAsia"/>
          <w:sz w:val="28"/>
          <w:szCs w:val="28"/>
        </w:rPr>
        <w:t>，</w:t>
      </w:r>
      <w:r w:rsidR="00EF4E99">
        <w:rPr>
          <w:rFonts w:ascii="標楷體" w:eastAsia="標楷體" w:hAnsi="標楷體" w:hint="eastAsia"/>
          <w:sz w:val="28"/>
          <w:szCs w:val="28"/>
        </w:rPr>
        <w:t>分階段</w:t>
      </w:r>
      <w:r w:rsidR="00EB0558">
        <w:rPr>
          <w:rFonts w:ascii="標楷體" w:eastAsia="標楷體" w:hAnsi="標楷體" w:hint="eastAsia"/>
          <w:sz w:val="28"/>
          <w:szCs w:val="28"/>
        </w:rPr>
        <w:t>的</w:t>
      </w:r>
      <w:r w:rsidRPr="00506056">
        <w:rPr>
          <w:rFonts w:ascii="標楷體" w:eastAsia="標楷體" w:hAnsi="標楷體" w:hint="eastAsia"/>
          <w:sz w:val="28"/>
          <w:szCs w:val="28"/>
        </w:rPr>
        <w:t>全面推動「司法院所屬一、二審法院訴訟程序視訊諮詢服務實施計畫」。</w:t>
      </w:r>
    </w:p>
    <w:p w:rsidR="00506056" w:rsidRPr="00506056" w:rsidRDefault="00506056" w:rsidP="008B5FEA">
      <w:pPr>
        <w:widowControl/>
        <w:spacing w:line="360" w:lineRule="auto"/>
        <w:ind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proofErr w:type="gramStart"/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高院為盡速配合辦理此項便民措施，</w:t>
      </w:r>
      <w:r w:rsidR="00431E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由</w:t>
      </w:r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訴訟輔導科、資訊室共同</w:t>
      </w:r>
      <w:proofErr w:type="gramStart"/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研</w:t>
      </w:r>
      <w:proofErr w:type="gramEnd"/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擬實施計畫，並建置「訴訟程序視訊諮詢服務管理系統」。由</w:t>
      </w:r>
      <w:proofErr w:type="gramStart"/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高院</w:t>
      </w:r>
      <w:r w:rsidR="00431E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李院長</w:t>
      </w:r>
      <w:proofErr w:type="gramStart"/>
      <w:r w:rsidR="00431E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彥</w:t>
      </w:r>
      <w:proofErr w:type="gramEnd"/>
      <w:r w:rsidR="00431E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文指派</w:t>
      </w:r>
      <w:proofErr w:type="gramStart"/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邱</w:t>
      </w:r>
      <w:proofErr w:type="gramEnd"/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官長忠義率</w:t>
      </w:r>
      <w:r w:rsidR="00431E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相關科室</w:t>
      </w:r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拜會新北市政府法制局黃局長</w:t>
      </w:r>
      <w:proofErr w:type="gramStart"/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怡</w:t>
      </w:r>
      <w:proofErr w:type="gramEnd"/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騰，協調合作方案，獲新北市政府大力支持響應，先期選擇</w:t>
      </w:r>
      <w:r w:rsidR="00431E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轄</w:t>
      </w:r>
      <w:r w:rsidR="00431E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區之</w:t>
      </w:r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林口、泰山、樹林、鶯歌、三峽等5</w:t>
      </w:r>
      <w:r w:rsidR="009A59A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行政區</w:t>
      </w:r>
      <w:r w:rsidR="00ED6E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，自</w:t>
      </w:r>
      <w:r w:rsidR="00EF4E9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</w:t>
      </w:r>
      <w:r w:rsidR="00ED6E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年7月1日起</w:t>
      </w:r>
      <w:r w:rsidR="00431E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合作實施第二審法院訴訟程序視訊諮詢服務</w:t>
      </w:r>
      <w:r w:rsidR="00D363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，另</w:t>
      </w:r>
      <w:r w:rsidR="00EF4E9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在市府積極協助下，</w:t>
      </w:r>
      <w:proofErr w:type="gramStart"/>
      <w:r w:rsidR="00ED6E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 w:rsidR="00ED6E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高院所轄</w:t>
      </w:r>
      <w:proofErr w:type="gramStart"/>
      <w:r w:rsidR="00ED6E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 w:rsidR="00ED6E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北</w:t>
      </w:r>
      <w:r w:rsidR="001150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、新北</w:t>
      </w:r>
      <w:r w:rsidR="00ED6E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、士林、基隆地方法院亦</w:t>
      </w:r>
      <w:r w:rsidR="00F9306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相繼</w:t>
      </w:r>
      <w:r w:rsidR="00EF4E9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加入服務行列，</w:t>
      </w:r>
      <w:r w:rsidR="00D363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亦</w:t>
      </w:r>
      <w:r w:rsidR="00EF4E9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自本日</w:t>
      </w:r>
      <w:r w:rsidR="00D363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（即8月1日）</w:t>
      </w:r>
      <w:r w:rsidR="00EF4E9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起</w:t>
      </w:r>
      <w:r w:rsidR="00EB055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市</w:t>
      </w:r>
      <w:r w:rsidR="00EF4E9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府</w:t>
      </w:r>
      <w:r w:rsidR="007A793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轄區</w:t>
      </w:r>
      <w:r w:rsidR="009D2B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共</w:t>
      </w:r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29</w:t>
      </w:r>
      <w:r w:rsidR="0019112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行政區公所調解委員會</w:t>
      </w:r>
      <w:r w:rsidR="00ED6E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皆提供法院訴訟程序視訊諮詢服務</w:t>
      </w:r>
      <w:r w:rsidR="0097584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  <w:r w:rsidR="008167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此</w:t>
      </w:r>
      <w:r w:rsidR="00A4480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項</w:t>
      </w:r>
      <w:proofErr w:type="gramStart"/>
      <w:r w:rsidR="00D363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Ｅ</w:t>
      </w:r>
      <w:proofErr w:type="gramEnd"/>
      <w:r w:rsidR="00D363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化</w:t>
      </w:r>
      <w:r w:rsidR="00A4480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服務對較偏遠地區更是一項福音，</w:t>
      </w:r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民眾可就近提出申請，即可在現場以視訊方</w:t>
      </w:r>
      <w:r w:rsidR="001150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式向</w:t>
      </w:r>
      <w:proofErr w:type="gramStart"/>
      <w:r w:rsidR="001150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 w:rsidR="001150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高院及所轄</w:t>
      </w:r>
      <w:proofErr w:type="gramStart"/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北、新北、士林、基隆</w:t>
      </w:r>
      <w:r w:rsidR="00EB055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等各法院</w:t>
      </w:r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訴訟輔導科專責人員諮詢訴訟程序相關問題</w:t>
      </w:r>
      <w:r w:rsidR="00ED6E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，以電腦化管理系統讓民眾事先預約登記或</w:t>
      </w:r>
      <w:proofErr w:type="gramStart"/>
      <w:r w:rsidR="00ED6E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現場抽號排隊</w:t>
      </w:r>
      <w:proofErr w:type="gramEnd"/>
      <w:r w:rsidR="00ED6E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9D2B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且</w:t>
      </w:r>
      <w:r w:rsidR="00ED6E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可即時顯示諮詢進度，法院訴訟程序輔導手臂得以向外延伸，減少偏遠</w:t>
      </w:r>
      <w:r w:rsidR="0097584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地區</w:t>
      </w:r>
      <w:r w:rsidR="00ED6E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民眾往返法院之路程</w:t>
      </w:r>
      <w:r w:rsidR="0097584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ED6E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勞費，並提升便民禮民效能</w:t>
      </w:r>
      <w:r w:rsidR="00D363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ED6E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歡迎</w:t>
      </w:r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民眾</w:t>
      </w:r>
      <w:proofErr w:type="gramStart"/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多加</w:t>
      </w:r>
      <w:r w:rsidR="00D363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善</w:t>
      </w:r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用</w:t>
      </w:r>
      <w:proofErr w:type="gramEnd"/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此項便民措施</w:t>
      </w:r>
      <w:r w:rsidR="007B5CC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97584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</w:t>
      </w:r>
      <w:r w:rsidR="00D363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預計109年3月1日起全國各一、二審</w:t>
      </w:r>
      <w:r w:rsidR="007B5CC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法院</w:t>
      </w:r>
      <w:r w:rsidR="008B5F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將持續與</w:t>
      </w:r>
      <w:r w:rsidR="00D363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各</w:t>
      </w:r>
      <w:r w:rsidR="008B5F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地方政府合作推廣，以資源共享、</w:t>
      </w:r>
      <w:r w:rsidR="00D363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全區覆蓋無死角的</w:t>
      </w:r>
      <w:r w:rsidR="008B5F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服務理念</w:t>
      </w:r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，繼續延伸</w:t>
      </w:r>
      <w:r w:rsidR="00D363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並擴展</w:t>
      </w:r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服務據點，期盼建構一個全國性普及化的網</w:t>
      </w:r>
      <w:r w:rsidR="007B5CC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路</w:t>
      </w:r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服務平台。</w:t>
      </w:r>
    </w:p>
    <w:p w:rsidR="00506056" w:rsidRPr="00506056" w:rsidRDefault="00506056" w:rsidP="00506056">
      <w:pPr>
        <w:widowControl/>
        <w:adjustRightInd w:val="0"/>
        <w:spacing w:line="360" w:lineRule="auto"/>
        <w:ind w:firstLineChars="200" w:firstLine="56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proofErr w:type="gramStart"/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高院李院長</w:t>
      </w:r>
      <w:proofErr w:type="gramStart"/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彥</w:t>
      </w:r>
      <w:proofErr w:type="gramEnd"/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文於新北市政府108年8月</w:t>
      </w:r>
      <w:r w:rsidR="001D46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日召開訴訟程序視訊諮詢服務全面普及記者會中致詞表示，為了增進人民對司法</w:t>
      </w:r>
      <w:r w:rsidR="00737A5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的認識</w:t>
      </w:r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，司法院一直致力於軟硬體的改善，</w:t>
      </w:r>
      <w:r w:rsidR="009D2B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此次</w:t>
      </w:r>
      <w:r w:rsidR="00EF4E9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更</w:t>
      </w:r>
      <w:r w:rsidR="009D2B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結合</w:t>
      </w:r>
      <w:r w:rsidR="00EF4E9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了</w:t>
      </w:r>
      <w:r w:rsidR="009D2B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地方政府</w:t>
      </w:r>
      <w:r w:rsidR="00EF4E9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行政資源</w:t>
      </w:r>
      <w:r w:rsidR="009D2B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EF4E9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建置多元的法律諮詢管道</w:t>
      </w:r>
      <w:r w:rsidR="009D2B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337A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提供免費服務，</w:t>
      </w:r>
      <w:r w:rsidR="009D2B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協助民眾解決法律糾紛，</w:t>
      </w:r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讓民眾就近至各地方政府服務據點就能獲得司法協助，也特別感</w:t>
      </w:r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謝</w:t>
      </w:r>
      <w:r w:rsidRPr="0050605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市府全</w:t>
      </w:r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力</w:t>
      </w:r>
      <w:r w:rsidR="008732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支持及</w:t>
      </w:r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協助</w:t>
      </w:r>
      <w:r w:rsidR="008732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配合</w:t>
      </w:r>
      <w:r w:rsidRPr="0050605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，以</w:t>
      </w:r>
      <w:r w:rsidR="009D2B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超高的</w:t>
      </w:r>
      <w:r w:rsidR="008167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</w:t>
      </w:r>
      <w:r w:rsidRPr="0050605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政效率</w:t>
      </w:r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，使得本計畫推展順利，不僅</w:t>
      </w:r>
      <w:proofErr w:type="gramStart"/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高院與上揭5行政區已開始實施視訊諮詢服務，另所屬</w:t>
      </w:r>
      <w:proofErr w:type="gramStart"/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北、新北、士林、基隆地方法院也自</w:t>
      </w:r>
      <w:r w:rsidR="002F4A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今</w:t>
      </w:r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日起於新北市全區29</w:t>
      </w:r>
      <w:r w:rsidR="001D46B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行政區全面啟動實施，</w:t>
      </w:r>
      <w:r w:rsidR="00337A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這些推動</w:t>
      </w:r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都在司法院預計的期程前啟動執行，讓新北市全市</w:t>
      </w:r>
      <w:proofErr w:type="gramStart"/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市民均能受惠</w:t>
      </w:r>
      <w:proofErr w:type="gramEnd"/>
      <w:r w:rsidR="00337A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此</w:t>
      </w:r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項便民服務措施，共同創造節省民眾勞費、提升市府多元服務品質、</w:t>
      </w:r>
      <w:r w:rsidR="0097584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</w:t>
      </w:r>
      <w:r w:rsidRPr="005060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落實司法為民的三贏局面。</w:t>
      </w:r>
    </w:p>
    <w:p w:rsidR="00506056" w:rsidRPr="00506056" w:rsidRDefault="00506056" w:rsidP="00506056">
      <w:pPr>
        <w:widowControl/>
        <w:spacing w:line="460" w:lineRule="exact"/>
        <w:ind w:leftChars="100" w:left="240" w:firstLineChars="200" w:firstLine="64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506056" w:rsidRPr="00506056" w:rsidRDefault="00506056" w:rsidP="00506056">
      <w:pPr>
        <w:widowControl/>
        <w:spacing w:line="460" w:lineRule="exact"/>
        <w:ind w:leftChars="100" w:left="240" w:firstLineChars="200" w:firstLine="64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C24D40" w:rsidRPr="00506056" w:rsidRDefault="00C24D40"/>
    <w:sectPr w:rsidR="00C24D40" w:rsidRPr="00506056" w:rsidSect="008B5FEA">
      <w:footerReference w:type="even" r:id="rId7"/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FB" w:rsidRDefault="009D77FB">
      <w:r>
        <w:separator/>
      </w:r>
    </w:p>
  </w:endnote>
  <w:endnote w:type="continuationSeparator" w:id="0">
    <w:p w:rsidR="009D77FB" w:rsidRDefault="009D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9C" w:rsidRDefault="00F1179C" w:rsidP="00872B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79C" w:rsidRDefault="00F1179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9C" w:rsidRDefault="00F1179C" w:rsidP="00872B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5080">
      <w:rPr>
        <w:rStyle w:val="a5"/>
        <w:noProof/>
      </w:rPr>
      <w:t>3</w:t>
    </w:r>
    <w:r>
      <w:rPr>
        <w:rStyle w:val="a5"/>
      </w:rPr>
      <w:fldChar w:fldCharType="end"/>
    </w:r>
  </w:p>
  <w:p w:rsidR="00F1179C" w:rsidRDefault="00F117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FB" w:rsidRDefault="009D77FB">
      <w:r>
        <w:separator/>
      </w:r>
    </w:p>
  </w:footnote>
  <w:footnote w:type="continuationSeparator" w:id="0">
    <w:p w:rsidR="009D77FB" w:rsidRDefault="009D7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A9"/>
    <w:rsid w:val="00017263"/>
    <w:rsid w:val="00024626"/>
    <w:rsid w:val="00026931"/>
    <w:rsid w:val="000333F3"/>
    <w:rsid w:val="00072D50"/>
    <w:rsid w:val="00086387"/>
    <w:rsid w:val="00094919"/>
    <w:rsid w:val="000C4A8E"/>
    <w:rsid w:val="000C6245"/>
    <w:rsid w:val="000D307C"/>
    <w:rsid w:val="000D7DD0"/>
    <w:rsid w:val="000E0FCB"/>
    <w:rsid w:val="000E2E12"/>
    <w:rsid w:val="000F397C"/>
    <w:rsid w:val="001024AC"/>
    <w:rsid w:val="00110E74"/>
    <w:rsid w:val="001114EB"/>
    <w:rsid w:val="001150EC"/>
    <w:rsid w:val="00117230"/>
    <w:rsid w:val="00130407"/>
    <w:rsid w:val="00131BC3"/>
    <w:rsid w:val="0013624F"/>
    <w:rsid w:val="00146202"/>
    <w:rsid w:val="00151149"/>
    <w:rsid w:val="00153A93"/>
    <w:rsid w:val="001738F7"/>
    <w:rsid w:val="001779B4"/>
    <w:rsid w:val="001867E2"/>
    <w:rsid w:val="00191128"/>
    <w:rsid w:val="00192521"/>
    <w:rsid w:val="00193132"/>
    <w:rsid w:val="001D107B"/>
    <w:rsid w:val="001D46B5"/>
    <w:rsid w:val="001D509D"/>
    <w:rsid w:val="001F5F13"/>
    <w:rsid w:val="0021018C"/>
    <w:rsid w:val="00257C23"/>
    <w:rsid w:val="00266EBF"/>
    <w:rsid w:val="0028303E"/>
    <w:rsid w:val="002909A9"/>
    <w:rsid w:val="002A666D"/>
    <w:rsid w:val="002B13AB"/>
    <w:rsid w:val="002B5E4E"/>
    <w:rsid w:val="002E5907"/>
    <w:rsid w:val="002F4A2F"/>
    <w:rsid w:val="00312895"/>
    <w:rsid w:val="00321431"/>
    <w:rsid w:val="00337A4E"/>
    <w:rsid w:val="003419AE"/>
    <w:rsid w:val="003463A3"/>
    <w:rsid w:val="00353851"/>
    <w:rsid w:val="003662EB"/>
    <w:rsid w:val="00382AD7"/>
    <w:rsid w:val="00386C19"/>
    <w:rsid w:val="003D4C5D"/>
    <w:rsid w:val="00415080"/>
    <w:rsid w:val="00431EC4"/>
    <w:rsid w:val="0043262F"/>
    <w:rsid w:val="00433DBD"/>
    <w:rsid w:val="00434153"/>
    <w:rsid w:val="004354D5"/>
    <w:rsid w:val="00436324"/>
    <w:rsid w:val="00443DB8"/>
    <w:rsid w:val="0045377C"/>
    <w:rsid w:val="004617D9"/>
    <w:rsid w:val="00462352"/>
    <w:rsid w:val="00474D87"/>
    <w:rsid w:val="004841A9"/>
    <w:rsid w:val="0048543D"/>
    <w:rsid w:val="00494532"/>
    <w:rsid w:val="004C057C"/>
    <w:rsid w:val="004D2E3A"/>
    <w:rsid w:val="004D41AD"/>
    <w:rsid w:val="004F05BC"/>
    <w:rsid w:val="00506056"/>
    <w:rsid w:val="00520430"/>
    <w:rsid w:val="00532721"/>
    <w:rsid w:val="0055067E"/>
    <w:rsid w:val="00552CEF"/>
    <w:rsid w:val="00553D46"/>
    <w:rsid w:val="00574B6A"/>
    <w:rsid w:val="00584F82"/>
    <w:rsid w:val="005923B6"/>
    <w:rsid w:val="0059358B"/>
    <w:rsid w:val="005C77B9"/>
    <w:rsid w:val="005E479F"/>
    <w:rsid w:val="005F07B4"/>
    <w:rsid w:val="006048DC"/>
    <w:rsid w:val="00610024"/>
    <w:rsid w:val="00611C3E"/>
    <w:rsid w:val="006255B8"/>
    <w:rsid w:val="0064316F"/>
    <w:rsid w:val="006823B2"/>
    <w:rsid w:val="006910E0"/>
    <w:rsid w:val="006A18D5"/>
    <w:rsid w:val="006A3862"/>
    <w:rsid w:val="006B285E"/>
    <w:rsid w:val="006B56AE"/>
    <w:rsid w:val="006C42BA"/>
    <w:rsid w:val="006C79F0"/>
    <w:rsid w:val="006D4729"/>
    <w:rsid w:val="00704EF1"/>
    <w:rsid w:val="007065C6"/>
    <w:rsid w:val="00707D94"/>
    <w:rsid w:val="0072684D"/>
    <w:rsid w:val="00732F78"/>
    <w:rsid w:val="00737121"/>
    <w:rsid w:val="00737A55"/>
    <w:rsid w:val="0076719B"/>
    <w:rsid w:val="007938EB"/>
    <w:rsid w:val="007A5236"/>
    <w:rsid w:val="007A76F2"/>
    <w:rsid w:val="007A7934"/>
    <w:rsid w:val="007B5CCB"/>
    <w:rsid w:val="007B6A17"/>
    <w:rsid w:val="007C67A4"/>
    <w:rsid w:val="007D20CB"/>
    <w:rsid w:val="007F3D9C"/>
    <w:rsid w:val="00804CB4"/>
    <w:rsid w:val="00810243"/>
    <w:rsid w:val="00810E5F"/>
    <w:rsid w:val="00813FA2"/>
    <w:rsid w:val="00816756"/>
    <w:rsid w:val="00820A91"/>
    <w:rsid w:val="0082605D"/>
    <w:rsid w:val="0082658A"/>
    <w:rsid w:val="008276A9"/>
    <w:rsid w:val="00827BFB"/>
    <w:rsid w:val="008316EE"/>
    <w:rsid w:val="00837EEE"/>
    <w:rsid w:val="00855110"/>
    <w:rsid w:val="0087231A"/>
    <w:rsid w:val="00872B5D"/>
    <w:rsid w:val="0087323E"/>
    <w:rsid w:val="00880421"/>
    <w:rsid w:val="008A46E3"/>
    <w:rsid w:val="008A6DF7"/>
    <w:rsid w:val="008B5FEA"/>
    <w:rsid w:val="008C1869"/>
    <w:rsid w:val="008C54E7"/>
    <w:rsid w:val="008E153F"/>
    <w:rsid w:val="008F3F3F"/>
    <w:rsid w:val="008F51FC"/>
    <w:rsid w:val="009070A1"/>
    <w:rsid w:val="00916CC1"/>
    <w:rsid w:val="009214E0"/>
    <w:rsid w:val="009260FF"/>
    <w:rsid w:val="00926793"/>
    <w:rsid w:val="00930447"/>
    <w:rsid w:val="00935E65"/>
    <w:rsid w:val="009464F5"/>
    <w:rsid w:val="0097584F"/>
    <w:rsid w:val="0097590B"/>
    <w:rsid w:val="0098246C"/>
    <w:rsid w:val="009943C6"/>
    <w:rsid w:val="009A4B0D"/>
    <w:rsid w:val="009A59A9"/>
    <w:rsid w:val="009A7720"/>
    <w:rsid w:val="009D0BE1"/>
    <w:rsid w:val="009D2BC8"/>
    <w:rsid w:val="009D507E"/>
    <w:rsid w:val="009D77FB"/>
    <w:rsid w:val="00A21F1E"/>
    <w:rsid w:val="00A4480C"/>
    <w:rsid w:val="00A44B31"/>
    <w:rsid w:val="00A559A7"/>
    <w:rsid w:val="00A674FB"/>
    <w:rsid w:val="00A73551"/>
    <w:rsid w:val="00A75929"/>
    <w:rsid w:val="00A76989"/>
    <w:rsid w:val="00A8774E"/>
    <w:rsid w:val="00A95CF4"/>
    <w:rsid w:val="00AA7DA4"/>
    <w:rsid w:val="00AB2146"/>
    <w:rsid w:val="00AC1764"/>
    <w:rsid w:val="00AD3C5D"/>
    <w:rsid w:val="00AE2CCF"/>
    <w:rsid w:val="00AF6138"/>
    <w:rsid w:val="00B07A09"/>
    <w:rsid w:val="00B2462D"/>
    <w:rsid w:val="00B256D0"/>
    <w:rsid w:val="00B40D59"/>
    <w:rsid w:val="00B4539C"/>
    <w:rsid w:val="00B86FC3"/>
    <w:rsid w:val="00B96F2D"/>
    <w:rsid w:val="00BE3F69"/>
    <w:rsid w:val="00C108CC"/>
    <w:rsid w:val="00C24D40"/>
    <w:rsid w:val="00C44D7A"/>
    <w:rsid w:val="00C5644E"/>
    <w:rsid w:val="00C70F0E"/>
    <w:rsid w:val="00C726B0"/>
    <w:rsid w:val="00CB57A1"/>
    <w:rsid w:val="00CD36CD"/>
    <w:rsid w:val="00CE1577"/>
    <w:rsid w:val="00CE4C12"/>
    <w:rsid w:val="00CE7E0A"/>
    <w:rsid w:val="00CF45E8"/>
    <w:rsid w:val="00D207BB"/>
    <w:rsid w:val="00D222C2"/>
    <w:rsid w:val="00D22ECF"/>
    <w:rsid w:val="00D31CC1"/>
    <w:rsid w:val="00D35526"/>
    <w:rsid w:val="00D3634D"/>
    <w:rsid w:val="00D47695"/>
    <w:rsid w:val="00D57A31"/>
    <w:rsid w:val="00D57F83"/>
    <w:rsid w:val="00D627C1"/>
    <w:rsid w:val="00D65424"/>
    <w:rsid w:val="00D66A38"/>
    <w:rsid w:val="00D77633"/>
    <w:rsid w:val="00D81C00"/>
    <w:rsid w:val="00D93CE5"/>
    <w:rsid w:val="00DA5E62"/>
    <w:rsid w:val="00DA726E"/>
    <w:rsid w:val="00DB3B10"/>
    <w:rsid w:val="00DC23FA"/>
    <w:rsid w:val="00DC41A4"/>
    <w:rsid w:val="00DC5163"/>
    <w:rsid w:val="00DE7DF4"/>
    <w:rsid w:val="00E04427"/>
    <w:rsid w:val="00E0656A"/>
    <w:rsid w:val="00E21091"/>
    <w:rsid w:val="00E2793A"/>
    <w:rsid w:val="00E755FF"/>
    <w:rsid w:val="00E769A3"/>
    <w:rsid w:val="00E818BF"/>
    <w:rsid w:val="00E8393B"/>
    <w:rsid w:val="00EA050A"/>
    <w:rsid w:val="00EA60BC"/>
    <w:rsid w:val="00EB0558"/>
    <w:rsid w:val="00ED3464"/>
    <w:rsid w:val="00ED6420"/>
    <w:rsid w:val="00ED6E94"/>
    <w:rsid w:val="00EE5DA1"/>
    <w:rsid w:val="00EE6506"/>
    <w:rsid w:val="00EF4E99"/>
    <w:rsid w:val="00F01F14"/>
    <w:rsid w:val="00F0200E"/>
    <w:rsid w:val="00F1179C"/>
    <w:rsid w:val="00F11BBF"/>
    <w:rsid w:val="00F32205"/>
    <w:rsid w:val="00F759EF"/>
    <w:rsid w:val="00F93063"/>
    <w:rsid w:val="00FA59D0"/>
    <w:rsid w:val="00FB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A8DFC9"/>
  <w15:chartTrackingRefBased/>
  <w15:docId w15:val="{A892337D-714C-4EC5-B0C1-DBB9DDEC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6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F5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F5F13"/>
  </w:style>
  <w:style w:type="paragraph" w:styleId="a6">
    <w:name w:val="Balloon Text"/>
    <w:basedOn w:val="a"/>
    <w:semiHidden/>
    <w:rsid w:val="000333F3"/>
    <w:rPr>
      <w:rFonts w:ascii="Arial" w:hAnsi="Arial"/>
      <w:sz w:val="18"/>
      <w:szCs w:val="18"/>
    </w:rPr>
  </w:style>
  <w:style w:type="character" w:styleId="a7">
    <w:name w:val="annotation reference"/>
    <w:semiHidden/>
    <w:rsid w:val="00A75929"/>
    <w:rPr>
      <w:sz w:val="18"/>
      <w:szCs w:val="18"/>
    </w:rPr>
  </w:style>
  <w:style w:type="paragraph" w:styleId="a8">
    <w:name w:val="annotation text"/>
    <w:basedOn w:val="a"/>
    <w:semiHidden/>
    <w:rsid w:val="00A75929"/>
  </w:style>
  <w:style w:type="paragraph" w:styleId="a9">
    <w:name w:val="annotation subject"/>
    <w:basedOn w:val="a8"/>
    <w:next w:val="a8"/>
    <w:semiHidden/>
    <w:rsid w:val="00A75929"/>
    <w:rPr>
      <w:b/>
      <w:bCs/>
    </w:rPr>
  </w:style>
  <w:style w:type="paragraph" w:styleId="3">
    <w:name w:val="Body Text Indent 3"/>
    <w:basedOn w:val="a"/>
    <w:rsid w:val="00CE1577"/>
    <w:pPr>
      <w:widowControl/>
    </w:pPr>
    <w:rPr>
      <w:kern w:val="0"/>
      <w:szCs w:val="20"/>
    </w:rPr>
  </w:style>
  <w:style w:type="paragraph" w:styleId="aa">
    <w:name w:val="header"/>
    <w:basedOn w:val="a"/>
    <w:link w:val="ab"/>
    <w:rsid w:val="002E5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2E590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學者簡介</dc:title>
  <dc:subject/>
  <dc:creator>ha-vivian</dc:creator>
  <cp:keywords/>
  <dc:description/>
  <cp:lastModifiedBy>TPH</cp:lastModifiedBy>
  <cp:revision>4</cp:revision>
  <cp:lastPrinted>2019-07-26T06:16:00Z</cp:lastPrinted>
  <dcterms:created xsi:type="dcterms:W3CDTF">2019-07-29T07:15:00Z</dcterms:created>
  <dcterms:modified xsi:type="dcterms:W3CDTF">2019-08-01T02:25:00Z</dcterms:modified>
</cp:coreProperties>
</file>