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1" w:type="dxa"/>
        <w:tblInd w:w="-152" w:type="dxa"/>
        <w:tblCellMar>
          <w:left w:w="28" w:type="dxa"/>
          <w:right w:w="28" w:type="dxa"/>
        </w:tblCellMar>
        <w:tblLook w:val="0000" w:firstRow="0" w:lastRow="0" w:firstColumn="0" w:lastColumn="0" w:noHBand="0" w:noVBand="0"/>
      </w:tblPr>
      <w:tblGrid>
        <w:gridCol w:w="2912"/>
        <w:gridCol w:w="6159"/>
      </w:tblGrid>
      <w:tr w:rsidR="000F3E51" w:rsidRPr="00AE1DB6" w:rsidTr="00525AF1">
        <w:trPr>
          <w:trHeight w:val="3117"/>
        </w:trPr>
        <w:tc>
          <w:tcPr>
            <w:tcW w:w="2870" w:type="dxa"/>
            <w:vAlign w:val="center"/>
          </w:tcPr>
          <w:p w:rsidR="000F3E51" w:rsidRPr="00AE1DB6" w:rsidRDefault="00242D60" w:rsidP="00AE1DB6">
            <w:pPr>
              <w:rPr>
                <w:rFonts w:ascii="標楷體" w:eastAsia="標楷體" w:hAnsi="標楷體"/>
                <w:b/>
                <w:sz w:val="28"/>
                <w:szCs w:val="28"/>
              </w:rPr>
            </w:pPr>
            <w:r w:rsidRPr="00AE1DB6">
              <w:rPr>
                <w:rFonts w:ascii="標楷體" w:eastAsia="標楷體" w:hAnsi="標楷體"/>
                <w:noProof/>
                <w:sz w:val="28"/>
                <w:szCs w:val="28"/>
              </w:rPr>
              <w:drawing>
                <wp:inline distT="0" distB="0" distL="0" distR="0">
                  <wp:extent cx="1813560" cy="1752600"/>
                  <wp:effectExtent l="0" t="0" r="0" b="0"/>
                  <wp:docPr id="1" name="圖片 1"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board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3560" cy="1752600"/>
                          </a:xfrm>
                          <a:prstGeom prst="rect">
                            <a:avLst/>
                          </a:prstGeom>
                          <a:noFill/>
                          <a:ln>
                            <a:noFill/>
                          </a:ln>
                        </pic:spPr>
                      </pic:pic>
                    </a:graphicData>
                  </a:graphic>
                </wp:inline>
              </w:drawing>
            </w:r>
            <w:r w:rsidR="000F3E51" w:rsidRPr="00AE1DB6">
              <w:rPr>
                <w:rFonts w:ascii="標楷體" w:eastAsia="標楷體" w:hAnsi="標楷體" w:hint="eastAsia"/>
                <w:sz w:val="28"/>
                <w:szCs w:val="28"/>
              </w:rPr>
              <w:t xml:space="preserve">   </w:t>
            </w:r>
          </w:p>
        </w:tc>
        <w:tc>
          <w:tcPr>
            <w:tcW w:w="6201" w:type="dxa"/>
          </w:tcPr>
          <w:p w:rsidR="000F3E51" w:rsidRPr="001F1CC5" w:rsidRDefault="000F3E51" w:rsidP="00CF7E11">
            <w:pPr>
              <w:ind w:firstLineChars="91" w:firstLine="510"/>
              <w:rPr>
                <w:rFonts w:ascii="標楷體" w:eastAsia="標楷體" w:hAnsi="標楷體"/>
                <w:b/>
                <w:sz w:val="44"/>
                <w:szCs w:val="44"/>
              </w:rPr>
            </w:pPr>
            <w:r w:rsidRPr="00CF7E11">
              <w:rPr>
                <w:rFonts w:ascii="標楷體" w:eastAsia="標楷體" w:hAnsi="標楷體" w:hint="eastAsia"/>
                <w:b/>
                <w:sz w:val="56"/>
                <w:szCs w:val="56"/>
              </w:rPr>
              <w:t>最高法院新聞稿</w:t>
            </w:r>
          </w:p>
          <w:p w:rsidR="000F3E51" w:rsidRPr="00AE1DB6" w:rsidRDefault="000F3E51" w:rsidP="00AE1DB6">
            <w:pPr>
              <w:spacing w:line="0" w:lineRule="atLeast"/>
              <w:ind w:firstLineChars="100" w:firstLine="280"/>
              <w:rPr>
                <w:rFonts w:ascii="標楷體" w:eastAsia="標楷體" w:hAnsi="標楷體"/>
                <w:sz w:val="28"/>
                <w:szCs w:val="28"/>
              </w:rPr>
            </w:pPr>
            <w:r w:rsidRPr="00AE1DB6">
              <w:rPr>
                <w:rFonts w:ascii="標楷體" w:eastAsia="標楷體" w:hAnsi="標楷體" w:hint="eastAsia"/>
                <w:sz w:val="28"/>
                <w:szCs w:val="28"/>
              </w:rPr>
              <w:t>發稿日期：10</w:t>
            </w:r>
            <w:r w:rsidR="003A550E">
              <w:rPr>
                <w:rFonts w:ascii="標楷體" w:eastAsia="標楷體" w:hAnsi="標楷體"/>
                <w:sz w:val="28"/>
                <w:szCs w:val="28"/>
              </w:rPr>
              <w:t>8</w:t>
            </w:r>
            <w:r w:rsidRPr="00AE1DB6">
              <w:rPr>
                <w:rFonts w:ascii="標楷體" w:eastAsia="標楷體" w:hAnsi="標楷體" w:hint="eastAsia"/>
                <w:sz w:val="28"/>
                <w:szCs w:val="28"/>
              </w:rPr>
              <w:t>年</w:t>
            </w:r>
            <w:r w:rsidR="001069FF">
              <w:rPr>
                <w:rFonts w:ascii="標楷體" w:eastAsia="標楷體" w:hAnsi="標楷體" w:hint="eastAsia"/>
                <w:sz w:val="28"/>
                <w:szCs w:val="28"/>
              </w:rPr>
              <w:t>5</w:t>
            </w:r>
            <w:r w:rsidRPr="00AE1DB6">
              <w:rPr>
                <w:rFonts w:ascii="標楷體" w:eastAsia="標楷體" w:hAnsi="標楷體" w:hint="eastAsia"/>
                <w:sz w:val="28"/>
                <w:szCs w:val="28"/>
              </w:rPr>
              <w:t>月</w:t>
            </w:r>
            <w:r w:rsidR="0051338C">
              <w:rPr>
                <w:rFonts w:ascii="標楷體" w:eastAsia="標楷體" w:hAnsi="標楷體" w:hint="eastAsia"/>
                <w:sz w:val="28"/>
                <w:szCs w:val="28"/>
              </w:rPr>
              <w:t>2</w:t>
            </w:r>
            <w:r w:rsidR="001069FF">
              <w:rPr>
                <w:rFonts w:ascii="標楷體" w:eastAsia="標楷體" w:hAnsi="標楷體"/>
                <w:sz w:val="28"/>
                <w:szCs w:val="28"/>
              </w:rPr>
              <w:t>3</w:t>
            </w:r>
            <w:r w:rsidRPr="00AE1DB6">
              <w:rPr>
                <w:rFonts w:ascii="標楷體" w:eastAsia="標楷體" w:hAnsi="標楷體" w:hint="eastAsia"/>
                <w:sz w:val="28"/>
                <w:szCs w:val="28"/>
              </w:rPr>
              <w:t>日</w:t>
            </w:r>
          </w:p>
          <w:p w:rsidR="000F3E51" w:rsidRPr="00AE1DB6" w:rsidRDefault="000F3E51" w:rsidP="00AE1DB6">
            <w:pPr>
              <w:spacing w:line="0" w:lineRule="atLeast"/>
              <w:ind w:firstLineChars="100" w:firstLine="280"/>
              <w:rPr>
                <w:rFonts w:ascii="標楷體" w:eastAsia="標楷體" w:hAnsi="標楷體"/>
                <w:sz w:val="28"/>
                <w:szCs w:val="28"/>
              </w:rPr>
            </w:pPr>
            <w:r w:rsidRPr="00AE1DB6">
              <w:rPr>
                <w:rFonts w:ascii="標楷體" w:eastAsia="標楷體" w:hAnsi="標楷體" w:hint="eastAsia"/>
                <w:sz w:val="28"/>
                <w:szCs w:val="28"/>
              </w:rPr>
              <w:t>發稿單位：</w:t>
            </w:r>
            <w:r w:rsidR="009F0B1E" w:rsidRPr="00AE1DB6">
              <w:rPr>
                <w:rFonts w:ascii="標楷體" w:eastAsia="標楷體" w:hAnsi="標楷體" w:hint="eastAsia"/>
                <w:sz w:val="28"/>
                <w:szCs w:val="28"/>
              </w:rPr>
              <w:t>書記廳</w:t>
            </w:r>
          </w:p>
          <w:p w:rsidR="000F3E51" w:rsidRPr="00AE1DB6" w:rsidRDefault="000F3E51" w:rsidP="00AE1DB6">
            <w:pPr>
              <w:spacing w:line="0" w:lineRule="atLeast"/>
              <w:ind w:firstLineChars="100" w:firstLine="280"/>
              <w:rPr>
                <w:rFonts w:ascii="標楷體" w:eastAsia="標楷體" w:hAnsi="標楷體"/>
                <w:sz w:val="28"/>
                <w:szCs w:val="28"/>
              </w:rPr>
            </w:pPr>
            <w:r w:rsidRPr="00AE1DB6">
              <w:rPr>
                <w:rFonts w:ascii="標楷體" w:eastAsia="標楷體" w:hAnsi="標楷體" w:hint="eastAsia"/>
                <w:sz w:val="28"/>
                <w:szCs w:val="28"/>
              </w:rPr>
              <w:t>連 絡 人：</w:t>
            </w:r>
            <w:r w:rsidR="00E97DBF">
              <w:rPr>
                <w:rFonts w:ascii="標楷體" w:eastAsia="標楷體" w:hAnsi="標楷體" w:hint="eastAsia"/>
                <w:sz w:val="28"/>
                <w:szCs w:val="28"/>
              </w:rPr>
              <w:t>審判長</w:t>
            </w:r>
            <w:r w:rsidR="009F0B1E" w:rsidRPr="00AE1DB6">
              <w:rPr>
                <w:rFonts w:ascii="標楷體" w:eastAsia="標楷體" w:hAnsi="標楷體" w:hint="eastAsia"/>
                <w:sz w:val="28"/>
                <w:szCs w:val="28"/>
              </w:rPr>
              <w:t>兼</w:t>
            </w:r>
            <w:r w:rsidR="006F3E8B">
              <w:rPr>
                <w:rFonts w:ascii="標楷體" w:eastAsia="標楷體" w:hAnsi="標楷體" w:hint="eastAsia"/>
                <w:sz w:val="28"/>
                <w:szCs w:val="28"/>
              </w:rPr>
              <w:t>書記官長</w:t>
            </w:r>
            <w:r w:rsidR="009F0B1E" w:rsidRPr="00AE1DB6">
              <w:rPr>
                <w:rFonts w:ascii="標楷體" w:eastAsia="標楷體" w:hAnsi="標楷體" w:hint="eastAsia"/>
                <w:sz w:val="28"/>
                <w:szCs w:val="28"/>
              </w:rPr>
              <w:t xml:space="preserve">　</w:t>
            </w:r>
            <w:r w:rsidR="00943E5C">
              <w:rPr>
                <w:rFonts w:ascii="標楷體" w:eastAsia="標楷體" w:hAnsi="標楷體" w:hint="eastAsia"/>
                <w:sz w:val="28"/>
                <w:szCs w:val="28"/>
              </w:rPr>
              <w:t>徐昌錦</w:t>
            </w:r>
          </w:p>
          <w:p w:rsidR="00525AF1" w:rsidRDefault="000F3E51" w:rsidP="00AE1DB6">
            <w:pPr>
              <w:spacing w:line="0" w:lineRule="atLeast"/>
              <w:ind w:firstLineChars="100" w:firstLine="280"/>
              <w:rPr>
                <w:rFonts w:ascii="標楷體" w:eastAsia="標楷體" w:hAnsi="標楷體"/>
                <w:sz w:val="28"/>
                <w:szCs w:val="28"/>
              </w:rPr>
            </w:pPr>
            <w:r w:rsidRPr="00AE1DB6">
              <w:rPr>
                <w:rFonts w:ascii="標楷體" w:eastAsia="標楷體" w:hAnsi="標楷體" w:hint="eastAsia"/>
                <w:sz w:val="28"/>
                <w:szCs w:val="28"/>
              </w:rPr>
              <w:t>連絡電話：02-23</w:t>
            </w:r>
            <w:r w:rsidR="009F0B1E" w:rsidRPr="00AE1DB6">
              <w:rPr>
                <w:rFonts w:ascii="標楷體" w:eastAsia="標楷體" w:hAnsi="標楷體" w:hint="eastAsia"/>
                <w:sz w:val="28"/>
                <w:szCs w:val="28"/>
              </w:rPr>
              <w:t>141160</w:t>
            </w:r>
            <w:r w:rsidR="00522992">
              <w:rPr>
                <w:rFonts w:ascii="標楷體" w:eastAsia="標楷體" w:hAnsi="標楷體" w:hint="eastAsia"/>
                <w:sz w:val="28"/>
                <w:szCs w:val="28"/>
              </w:rPr>
              <w:t>#6711</w:t>
            </w:r>
            <w:r w:rsidR="00974CE2" w:rsidRPr="00AE1DB6">
              <w:rPr>
                <w:rFonts w:ascii="標楷體" w:eastAsia="標楷體" w:hAnsi="標楷體" w:hint="eastAsia"/>
                <w:sz w:val="28"/>
                <w:szCs w:val="28"/>
              </w:rPr>
              <w:t xml:space="preserve">  </w:t>
            </w:r>
            <w:r w:rsidR="00525AF1" w:rsidRPr="00525AF1">
              <w:rPr>
                <w:rFonts w:ascii="標楷體" w:eastAsia="標楷體" w:hAnsi="標楷體" w:hint="eastAsia"/>
                <w:szCs w:val="28"/>
              </w:rPr>
              <w:t>編號：108-民7</w:t>
            </w:r>
          </w:p>
          <w:p w:rsidR="00600033" w:rsidRPr="00AE1DB6" w:rsidRDefault="00974CE2" w:rsidP="00525AF1">
            <w:pPr>
              <w:spacing w:line="0" w:lineRule="atLeast"/>
              <w:ind w:firstLineChars="600" w:firstLine="1680"/>
              <w:rPr>
                <w:rFonts w:ascii="標楷體" w:eastAsia="標楷體" w:hAnsi="標楷體"/>
                <w:sz w:val="28"/>
                <w:szCs w:val="28"/>
              </w:rPr>
            </w:pPr>
            <w:r w:rsidRPr="00AE1DB6">
              <w:rPr>
                <w:rFonts w:ascii="標楷體" w:eastAsia="標楷體" w:hAnsi="標楷體" w:hint="eastAsia"/>
                <w:sz w:val="28"/>
                <w:szCs w:val="28"/>
              </w:rPr>
              <w:t>0910027699</w:t>
            </w:r>
            <w:r w:rsidR="00B151CF" w:rsidRPr="00AE1DB6">
              <w:rPr>
                <w:rFonts w:ascii="標楷體" w:eastAsia="標楷體" w:hAnsi="標楷體" w:hint="eastAsia"/>
                <w:sz w:val="28"/>
                <w:szCs w:val="28"/>
              </w:rPr>
              <w:t xml:space="preserve">                             </w:t>
            </w:r>
            <w:r w:rsidR="00CF7E11">
              <w:rPr>
                <w:rFonts w:ascii="標楷體" w:eastAsia="標楷體" w:hAnsi="標楷體" w:hint="eastAsia"/>
                <w:sz w:val="28"/>
                <w:szCs w:val="28"/>
              </w:rPr>
              <w:t xml:space="preserve">                       </w:t>
            </w:r>
          </w:p>
        </w:tc>
      </w:tr>
    </w:tbl>
    <w:p w:rsidR="000F3E51" w:rsidRDefault="00242D60" w:rsidP="00AE1DB6">
      <w:pPr>
        <w:rPr>
          <w:rFonts w:ascii="標楷體" w:eastAsia="標楷體" w:hAnsi="標楷體"/>
          <w:b/>
          <w:sz w:val="28"/>
          <w:szCs w:val="28"/>
        </w:rPr>
      </w:pPr>
      <w:bookmarkStart w:id="0" w:name="_GoBack"/>
      <w:r w:rsidRPr="00AE1DB6">
        <w:rPr>
          <w:rFonts w:ascii="標楷體" w:eastAsia="標楷體" w:hAnsi="標楷體"/>
          <w:b/>
          <w:noProof/>
          <w:sz w:val="28"/>
          <w:szCs w:val="28"/>
        </w:rPr>
        <mc:AlternateContent>
          <mc:Choice Requires="wps">
            <w:drawing>
              <wp:inline distT="0" distB="0" distL="0" distR="0">
                <wp:extent cx="5435600" cy="19050"/>
                <wp:effectExtent l="19050" t="19050" r="31750" b="19050"/>
                <wp:docPr id="2"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35600" cy="1905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79EE48AD" id="Line 71" o:spid="_x0000_s1026" style="flip:y;visibility:visible;mso-wrap-style:square;mso-left-percent:-10001;mso-top-percent:-10001;mso-position-horizontal:absolute;mso-position-horizontal-relative:char;mso-position-vertical:absolute;mso-position-vertical-relative:line;mso-left-percent:-10001;mso-top-percent:-10001" from="0,0" to="42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" strokeweight="2.25pt">
                <w10:anchorlock/>
              </v:line>
            </w:pict>
          </mc:Fallback>
        </mc:AlternateContent>
      </w:r>
      <w:bookmarkEnd w:id="0"/>
    </w:p>
    <w:p w:rsidR="009D4703" w:rsidRDefault="009D4703" w:rsidP="00256AF5">
      <w:pPr>
        <w:jc w:val="center"/>
        <w:rPr>
          <w:rFonts w:ascii="標楷體" w:eastAsia="標楷體" w:hAnsi="標楷體"/>
          <w:b/>
          <w:sz w:val="32"/>
          <w:szCs w:val="32"/>
        </w:rPr>
      </w:pPr>
      <w:r w:rsidRPr="009D4703">
        <w:rPr>
          <w:rFonts w:ascii="標楷體" w:eastAsia="標楷體" w:hAnsi="標楷體" w:hint="eastAsia"/>
          <w:b/>
          <w:sz w:val="32"/>
          <w:szCs w:val="32"/>
        </w:rPr>
        <w:t>最高法院106 年度台上字第2329號</w:t>
      </w:r>
      <w:r w:rsidR="00256AF5" w:rsidRPr="00256AF5">
        <w:rPr>
          <w:rFonts w:ascii="標楷體" w:eastAsia="標楷體" w:hAnsi="標楷體" w:hint="eastAsia"/>
          <w:b/>
          <w:sz w:val="32"/>
          <w:szCs w:val="32"/>
        </w:rPr>
        <w:t>財政部與台新金融控股股份有限公司間請求確認契約關係存在等</w:t>
      </w:r>
      <w:r w:rsidRPr="009D4703">
        <w:rPr>
          <w:rFonts w:ascii="標楷體" w:eastAsia="標楷體" w:hAnsi="標楷體" w:hint="eastAsia"/>
          <w:b/>
          <w:sz w:val="32"/>
          <w:szCs w:val="32"/>
        </w:rPr>
        <w:t>事件新聞稿</w:t>
      </w:r>
    </w:p>
    <w:p w:rsidR="009D4703" w:rsidRPr="009D4703" w:rsidRDefault="009D4703" w:rsidP="00032776">
      <w:pPr>
        <w:jc w:val="left"/>
        <w:rPr>
          <w:rFonts w:ascii="標楷體" w:eastAsia="標楷體" w:hAnsi="標楷體"/>
          <w:sz w:val="28"/>
          <w:szCs w:val="28"/>
        </w:rPr>
      </w:pPr>
      <w:r w:rsidRPr="009D4703">
        <w:rPr>
          <w:rFonts w:ascii="標楷體" w:eastAsia="標楷體" w:hAnsi="標楷體" w:hint="eastAsia"/>
          <w:sz w:val="28"/>
          <w:szCs w:val="28"/>
        </w:rPr>
        <w:t>一、本案判決摘要</w:t>
      </w:r>
    </w:p>
    <w:p w:rsidR="009D4703" w:rsidRPr="009D4703" w:rsidRDefault="009D4703" w:rsidP="00B756E6">
      <w:pPr>
        <w:rPr>
          <w:rFonts w:ascii="標楷體" w:eastAsia="標楷體" w:hAnsi="標楷體"/>
          <w:sz w:val="28"/>
          <w:szCs w:val="28"/>
        </w:rPr>
      </w:pPr>
      <w:r w:rsidRPr="009D4703">
        <w:rPr>
          <w:rFonts w:ascii="標楷體" w:eastAsia="標楷體" w:hAnsi="標楷體" w:hint="eastAsia"/>
          <w:sz w:val="28"/>
          <w:szCs w:val="28"/>
        </w:rPr>
        <w:t>上訴人財政部（下稱財政部）與被上訴人台新金融控股股份有限公司（下稱台新公司）間請求確認契約關係存在等事件（原審案號：臺灣高等法院105 年度重上字第621 號），經本院於民國108 年5 月23日，以106 年度台上字第2329號判決廢棄原判決關於確認兩造間契約關係存在及該訴訟費用部分，發回臺灣高等法院。</w:t>
      </w:r>
    </w:p>
    <w:p w:rsidR="009D4703" w:rsidRPr="009D4703" w:rsidRDefault="009D4703" w:rsidP="009D4703">
      <w:pPr>
        <w:rPr>
          <w:rFonts w:ascii="標楷體" w:eastAsia="標楷體" w:hAnsi="標楷體"/>
          <w:sz w:val="28"/>
          <w:szCs w:val="28"/>
        </w:rPr>
      </w:pPr>
      <w:r w:rsidRPr="009D4703">
        <w:rPr>
          <w:rFonts w:ascii="標楷體" w:eastAsia="標楷體" w:hAnsi="標楷體" w:hint="eastAsia"/>
          <w:sz w:val="28"/>
          <w:szCs w:val="28"/>
        </w:rPr>
        <w:t>二、台新公司（即原告）起訴主張</w:t>
      </w:r>
    </w:p>
    <w:p w:rsidR="009D4703" w:rsidRPr="009D4703" w:rsidRDefault="009D4703" w:rsidP="00032776">
      <w:pPr>
        <w:jc w:val="distribute"/>
        <w:rPr>
          <w:rFonts w:ascii="標楷體" w:eastAsia="標楷體" w:hAnsi="標楷體"/>
          <w:sz w:val="28"/>
          <w:szCs w:val="28"/>
        </w:rPr>
      </w:pPr>
      <w:r w:rsidRPr="009D4703">
        <w:rPr>
          <w:rFonts w:ascii="標楷體" w:eastAsia="標楷體" w:hAnsi="標楷體" w:hint="eastAsia"/>
          <w:sz w:val="28"/>
          <w:szCs w:val="28"/>
        </w:rPr>
        <w:t>訴外人彰化商業銀行股份有限公司（下稱彰化銀行）於民國94年6 月間，以私募公開競標方式，辦理現金增資（下稱系爭增資案），發行14億股特別股（下稱特別股）。財政部當時為彰化銀行最大股東，為吸引潛在策略投資人參與投標，以達成政府2 次金改之公股整併政策，乃於同年7 月5 日以新聞稿（下稱94年7 月5 日新聞稿），同意支持所引進之金融機構取得彰化銀行經營權；復以同年月21日台財庫字第</w:t>
      </w:r>
      <w:r w:rsidRPr="009D4703">
        <w:rPr>
          <w:rFonts w:ascii="標楷體" w:eastAsia="標楷體" w:hAnsi="標楷體" w:hint="eastAsia"/>
          <w:sz w:val="28"/>
          <w:szCs w:val="28"/>
        </w:rPr>
        <w:lastRenderedPageBreak/>
        <w:t>09403513700 號函（下稱94年7 月21日函）同意完成增資後，經營管理權移由得標投資人主導，並同意於董事、監察人（下稱董監事）改選時，支持得標投資人取得董監事過半數席次。其以總價新臺幣365 億6800萬元標得特別股。上揭94年7 月5 日新聞稿及94年7 月21日函係財政部對其之要約，其以標購系爭特別股為承諾而成立契約（下稱系爭契約）。財政部嗣並於94年、97年、100 年股東會改選董監事時，使其取得董監事過半數席次。詎財政部於103 年12月8 日第24屆股東會時，竟未支持其之人選，造成其未取得經營權。爰求為確認「在財政部持有彰化銀行之股份未出售前，且其仍為彰化銀行最大股東期間（者），財政部應支持其指派之代表人當選彰化銀行全體董事席次過半數之普董席次」之契約關係（下稱系爭契約關係）存在之判決。</w:t>
      </w:r>
    </w:p>
    <w:p w:rsidR="009D4703" w:rsidRPr="009D4703" w:rsidRDefault="009D4703" w:rsidP="009D4703">
      <w:pPr>
        <w:rPr>
          <w:rFonts w:ascii="標楷體" w:eastAsia="標楷體" w:hAnsi="標楷體"/>
          <w:sz w:val="28"/>
          <w:szCs w:val="28"/>
        </w:rPr>
      </w:pPr>
      <w:r w:rsidRPr="009D4703">
        <w:rPr>
          <w:rFonts w:ascii="標楷體" w:eastAsia="標楷體" w:hAnsi="標楷體" w:hint="eastAsia"/>
          <w:sz w:val="28"/>
          <w:szCs w:val="28"/>
        </w:rPr>
        <w:t>三、財政部（即被告）之抗辯</w:t>
      </w:r>
    </w:p>
    <w:p w:rsidR="009D4703" w:rsidRPr="009D4703" w:rsidRDefault="009D4703" w:rsidP="00032776">
      <w:pPr>
        <w:rPr>
          <w:rFonts w:ascii="標楷體" w:eastAsia="標楷體" w:hAnsi="標楷體"/>
          <w:sz w:val="28"/>
          <w:szCs w:val="28"/>
        </w:rPr>
      </w:pPr>
      <w:r w:rsidRPr="009D4703">
        <w:rPr>
          <w:rFonts w:ascii="標楷體" w:eastAsia="標楷體" w:hAnsi="標楷體" w:hint="eastAsia"/>
          <w:sz w:val="28"/>
          <w:szCs w:val="28"/>
        </w:rPr>
        <w:t>94年7 月5 日新聞稿係其基於公股管理機關立場所為之政策說明。另94年7 月21日函之效力僅限於彰化銀行94年董監事改選，其行文對象為彰化銀行，未委任</w:t>
      </w:r>
      <w:r w:rsidR="001C225A">
        <w:rPr>
          <w:rFonts w:ascii="標楷體" w:eastAsia="標楷體" w:hAnsi="標楷體" w:hint="eastAsia"/>
          <w:sz w:val="28"/>
          <w:szCs w:val="28"/>
        </w:rPr>
        <w:t>訴外人勤業國際財務顧問公司或以之為傳達機關，將該函轉交台新公司，</w:t>
      </w:r>
      <w:r w:rsidRPr="009D4703">
        <w:rPr>
          <w:rFonts w:ascii="標楷體" w:eastAsia="標楷體" w:hAnsi="標楷體" w:hint="eastAsia"/>
          <w:sz w:val="28"/>
          <w:szCs w:val="28"/>
        </w:rPr>
        <w:t>其未對台新公司為要約。又其94年7 月21日函僅就94年董</w:t>
      </w:r>
      <w:r w:rsidR="001C225A">
        <w:rPr>
          <w:rFonts w:ascii="標楷體" w:eastAsia="標楷體" w:hAnsi="標楷體" w:hint="eastAsia"/>
          <w:sz w:val="28"/>
          <w:szCs w:val="28"/>
        </w:rPr>
        <w:t>監事改選表明席次分配，並未允諾支持台新公司取得董監事過半數席次，</w:t>
      </w:r>
      <w:r w:rsidRPr="009D4703">
        <w:rPr>
          <w:rFonts w:ascii="標楷體" w:eastAsia="標楷體" w:hAnsi="標楷體" w:hint="eastAsia"/>
          <w:sz w:val="28"/>
          <w:szCs w:val="28"/>
        </w:rPr>
        <w:t>其為求股東和諧，始與台新公司簽署97年、100 年協議書。縱認兩造有系爭契約關係存在，性質為股東表決權拘</w:t>
      </w:r>
      <w:r w:rsidRPr="009D4703">
        <w:rPr>
          <w:rFonts w:ascii="標楷體" w:eastAsia="標楷體" w:hAnsi="標楷體" w:hint="eastAsia"/>
          <w:sz w:val="28"/>
          <w:szCs w:val="28"/>
        </w:rPr>
        <w:lastRenderedPageBreak/>
        <w:t>束契約，不僅對彰化銀行無益，亦因侵害員工及其他股東權益，違反公序良俗而無效。</w:t>
      </w:r>
    </w:p>
    <w:p w:rsidR="009D4703" w:rsidRPr="009D4703" w:rsidRDefault="009D4703" w:rsidP="009D4703">
      <w:pPr>
        <w:rPr>
          <w:rFonts w:ascii="標楷體" w:eastAsia="標楷體" w:hAnsi="標楷體"/>
          <w:sz w:val="28"/>
          <w:szCs w:val="28"/>
        </w:rPr>
      </w:pPr>
      <w:r w:rsidRPr="009D4703">
        <w:rPr>
          <w:rFonts w:ascii="標楷體" w:eastAsia="標楷體" w:hAnsi="標楷體" w:hint="eastAsia"/>
          <w:sz w:val="28"/>
          <w:szCs w:val="28"/>
        </w:rPr>
        <w:t>四、二審判決摘要</w:t>
      </w:r>
    </w:p>
    <w:p w:rsidR="00032776" w:rsidRDefault="00032776" w:rsidP="00032776">
      <w:pPr>
        <w:ind w:left="560" w:hangingChars="200" w:hanging="560"/>
        <w:rPr>
          <w:rFonts w:ascii="標楷體" w:eastAsia="標楷體" w:hAnsi="標楷體"/>
          <w:sz w:val="28"/>
          <w:szCs w:val="28"/>
        </w:rPr>
      </w:pPr>
      <w:r>
        <w:rPr>
          <w:rFonts w:ascii="標楷體" w:eastAsia="標楷體" w:hAnsi="標楷體" w:hint="eastAsia"/>
          <w:sz w:val="28"/>
          <w:szCs w:val="28"/>
        </w:rPr>
        <w:t>（一）</w:t>
      </w:r>
      <w:r w:rsidR="009D4703" w:rsidRPr="009D4703">
        <w:rPr>
          <w:rFonts w:ascii="標楷體" w:eastAsia="標楷體" w:hAnsi="標楷體" w:hint="eastAsia"/>
          <w:sz w:val="28"/>
          <w:szCs w:val="28"/>
        </w:rPr>
        <w:t>、財政部在系爭增資案完成前，為彰化銀行最大股東，且係公股管理機關，為吸引國內外投資人參與投標，配合政府2 次金改公股整併政策，乃發送94年7 月5 日新聞稿及94年7 月21</w:t>
      </w:r>
      <w:r w:rsidR="009D4703">
        <w:rPr>
          <w:rFonts w:ascii="標楷體" w:eastAsia="標楷體" w:hAnsi="標楷體" w:hint="eastAsia"/>
          <w:sz w:val="28"/>
          <w:szCs w:val="28"/>
        </w:rPr>
        <w:t>日函，同意完成增資後，經營管理權移由該策略投資人主導</w:t>
      </w:r>
      <w:r w:rsidR="009D4703" w:rsidRPr="009D4703">
        <w:rPr>
          <w:rFonts w:ascii="標楷體" w:eastAsia="標楷體" w:hAnsi="標楷體" w:hint="eastAsia"/>
          <w:sz w:val="28"/>
          <w:szCs w:val="28"/>
        </w:rPr>
        <w:t>。</w:t>
      </w:r>
    </w:p>
    <w:p w:rsidR="009D4703" w:rsidRPr="009D4703" w:rsidRDefault="00032776" w:rsidP="00032776">
      <w:pPr>
        <w:ind w:left="560" w:hangingChars="200" w:hanging="560"/>
        <w:rPr>
          <w:rFonts w:ascii="標楷體" w:eastAsia="標楷體" w:hAnsi="標楷體"/>
          <w:sz w:val="28"/>
          <w:szCs w:val="28"/>
        </w:rPr>
      </w:pPr>
      <w:r>
        <w:rPr>
          <w:rFonts w:ascii="標楷體" w:eastAsia="標楷體" w:hAnsi="標楷體" w:hint="eastAsia"/>
          <w:sz w:val="28"/>
          <w:szCs w:val="28"/>
        </w:rPr>
        <w:t>（二）</w:t>
      </w:r>
      <w:r w:rsidR="009D4703" w:rsidRPr="009D4703">
        <w:rPr>
          <w:rFonts w:ascii="標楷體" w:eastAsia="標楷體" w:hAnsi="標楷體" w:hint="eastAsia"/>
          <w:sz w:val="28"/>
          <w:szCs w:val="28"/>
        </w:rPr>
        <w:t>、財政部94年7 月5 日新聞稿及94年</w:t>
      </w:r>
      <w:r>
        <w:rPr>
          <w:rFonts w:ascii="標楷體" w:eastAsia="標楷體" w:hAnsi="標楷體" w:hint="eastAsia"/>
          <w:sz w:val="28"/>
          <w:szCs w:val="28"/>
        </w:rPr>
        <w:t>7</w:t>
      </w:r>
      <w:r w:rsidR="009D4703" w:rsidRPr="009D4703">
        <w:rPr>
          <w:rFonts w:ascii="標楷體" w:eastAsia="標楷體" w:hAnsi="標楷體" w:hint="eastAsia"/>
          <w:sz w:val="28"/>
          <w:szCs w:val="28"/>
        </w:rPr>
        <w:t>月21日函之內容共同構成對投資人所為之要約，投資人對特別股出價最高者，承諾與財政部成立系爭契約。該契約之成立，不以書面為要，其內容以94年7 月5 日新聞稿、94年7 月21日函為據。</w:t>
      </w:r>
    </w:p>
    <w:p w:rsidR="00032776" w:rsidRDefault="00032776" w:rsidP="00032776">
      <w:pPr>
        <w:ind w:left="560" w:hangingChars="200" w:hanging="560"/>
        <w:rPr>
          <w:rFonts w:ascii="標楷體" w:eastAsia="標楷體" w:hAnsi="標楷體"/>
          <w:sz w:val="28"/>
          <w:szCs w:val="28"/>
        </w:rPr>
      </w:pPr>
      <w:r>
        <w:rPr>
          <w:rFonts w:ascii="標楷體" w:eastAsia="標楷體" w:hAnsi="標楷體" w:hint="eastAsia"/>
          <w:sz w:val="28"/>
          <w:szCs w:val="28"/>
        </w:rPr>
        <w:t>（三）</w:t>
      </w:r>
      <w:r w:rsidR="009D4703" w:rsidRPr="009D4703">
        <w:rPr>
          <w:rFonts w:ascii="標楷體" w:eastAsia="標楷體" w:hAnsi="標楷體" w:hint="eastAsia"/>
          <w:sz w:val="28"/>
          <w:szCs w:val="28"/>
        </w:rPr>
        <w:t>、參酌財政部94年7 月5 日新聞稿、94年7 月21日函，及兩造另外簽訂之97年、100 年協議書，堪信系爭契約並非表決權拘束契約，應屬有效。退步言之，縱認系爭契約為股東表決權拘束契約，亦未違反公序良俗，仍為有效。</w:t>
      </w:r>
    </w:p>
    <w:p w:rsidR="009D4703" w:rsidRPr="009D4703" w:rsidRDefault="00032776" w:rsidP="00032776">
      <w:pPr>
        <w:ind w:left="560" w:hangingChars="200" w:hanging="560"/>
        <w:rPr>
          <w:rFonts w:ascii="標楷體" w:eastAsia="標楷體" w:hAnsi="標楷體"/>
          <w:sz w:val="28"/>
          <w:szCs w:val="28"/>
        </w:rPr>
      </w:pPr>
      <w:r>
        <w:rPr>
          <w:rFonts w:ascii="標楷體" w:eastAsia="標楷體" w:hAnsi="標楷體" w:hint="eastAsia"/>
          <w:sz w:val="28"/>
          <w:szCs w:val="28"/>
        </w:rPr>
        <w:t>（四）</w:t>
      </w:r>
      <w:r w:rsidR="009D4703" w:rsidRPr="009D4703">
        <w:rPr>
          <w:rFonts w:ascii="標楷體" w:eastAsia="標楷體" w:hAnsi="標楷體" w:hint="eastAsia"/>
          <w:sz w:val="28"/>
          <w:szCs w:val="28"/>
        </w:rPr>
        <w:t>、從而，台新公司訴請確認兩造間關於系爭契約關係存在，為有理由。</w:t>
      </w:r>
    </w:p>
    <w:p w:rsidR="009D4703" w:rsidRPr="009D4703" w:rsidRDefault="009D4703" w:rsidP="009D4703">
      <w:pPr>
        <w:rPr>
          <w:rFonts w:ascii="標楷體" w:eastAsia="標楷體" w:hAnsi="標楷體"/>
          <w:sz w:val="28"/>
          <w:szCs w:val="28"/>
        </w:rPr>
      </w:pPr>
      <w:r w:rsidRPr="009D4703">
        <w:rPr>
          <w:rFonts w:ascii="標楷體" w:eastAsia="標楷體" w:hAnsi="標楷體" w:hint="eastAsia"/>
          <w:sz w:val="28"/>
          <w:szCs w:val="28"/>
        </w:rPr>
        <w:t>五、本院判決摘要</w:t>
      </w:r>
    </w:p>
    <w:p w:rsidR="009D4703" w:rsidRPr="009D4703" w:rsidRDefault="00032776" w:rsidP="00032776">
      <w:pPr>
        <w:ind w:left="560" w:hangingChars="200" w:hanging="560"/>
        <w:rPr>
          <w:rFonts w:ascii="標楷體" w:eastAsia="標楷體" w:hAnsi="標楷體"/>
          <w:sz w:val="28"/>
          <w:szCs w:val="28"/>
        </w:rPr>
      </w:pPr>
      <w:r>
        <w:rPr>
          <w:rFonts w:ascii="標楷體" w:eastAsia="標楷體" w:hAnsi="標楷體" w:hint="eastAsia"/>
          <w:sz w:val="28"/>
          <w:szCs w:val="28"/>
        </w:rPr>
        <w:t>（一）</w:t>
      </w:r>
      <w:r w:rsidR="009D4703" w:rsidRPr="009D4703">
        <w:rPr>
          <w:rFonts w:ascii="標楷體" w:eastAsia="標楷體" w:hAnsi="標楷體" w:hint="eastAsia"/>
          <w:sz w:val="28"/>
          <w:szCs w:val="28"/>
        </w:rPr>
        <w:t>、按所謂「股東表決權拘束契約」係指股東與他股東約定，於一般的或特定的場合，就自己持有股份之表決權，為一定方向之行使</w:t>
      </w:r>
      <w:r w:rsidR="009D4703" w:rsidRPr="009D4703">
        <w:rPr>
          <w:rFonts w:ascii="標楷體" w:eastAsia="標楷體" w:hAnsi="標楷體" w:hint="eastAsia"/>
          <w:sz w:val="28"/>
          <w:szCs w:val="28"/>
        </w:rPr>
        <w:lastRenderedPageBreak/>
        <w:t>所締結之契約而言。當事人締結之股東表決權拘束契約，除符合公司法第175條之1、第356條之9 ，或企業併購法第10條規定，依法為有效外，倘締約目的與上開各規定之立法意旨無悖，非以意圖操控公司之不正當手段為之，且不違背公司治理原則及公序良俗者，尚不得遽認其契約為無效。該契約之拘束，不以一次性為限，倘約定為繼續性拘束者，其拘束期間應以合理範圍為度。查91年2月6日公布施行之企業併購法第10條第</w:t>
      </w:r>
      <w:r>
        <w:rPr>
          <w:rFonts w:ascii="標楷體" w:eastAsia="標楷體" w:hAnsi="標楷體" w:hint="eastAsia"/>
          <w:sz w:val="28"/>
          <w:szCs w:val="28"/>
        </w:rPr>
        <w:t>1</w:t>
      </w:r>
      <w:r w:rsidR="009D4703" w:rsidRPr="009D4703">
        <w:rPr>
          <w:rFonts w:ascii="標楷體" w:eastAsia="標楷體" w:hAnsi="標楷體" w:hint="eastAsia"/>
          <w:sz w:val="28"/>
          <w:szCs w:val="28"/>
        </w:rPr>
        <w:t>項規定</w:t>
      </w:r>
      <w:r w:rsidR="001C225A">
        <w:rPr>
          <w:rFonts w:ascii="標楷體" w:eastAsia="標楷體" w:hAnsi="標楷體" w:hint="eastAsia"/>
          <w:sz w:val="28"/>
          <w:szCs w:val="28"/>
        </w:rPr>
        <w:t>：</w:t>
      </w:r>
      <w:r w:rsidR="009D4703" w:rsidRPr="009D4703">
        <w:rPr>
          <w:rFonts w:ascii="標楷體" w:eastAsia="標楷體" w:hAnsi="標楷體" w:hint="eastAsia"/>
          <w:sz w:val="28"/>
          <w:szCs w:val="28"/>
        </w:rPr>
        <w:t xml:space="preserve"> 「公司進行併購時，股東得以書面契約約定其共同行使股東表決權之方式及相關事宜」。該規定所稱之「併購」指公司之合併、收購及分割。「收購」則指「公司依本法、公司法、證券交易法、金融機構合併法或金融控股公司法規定取得他公司之股份、營業財產，並以股份、現金或其他財產做為對價之行為而言（同法第4 條第2 、4 款規定參照）。其立法理由謂</w:t>
      </w:r>
      <w:r w:rsidR="001C225A">
        <w:rPr>
          <w:rFonts w:ascii="標楷體" w:eastAsia="標楷體" w:hAnsi="標楷體" w:hint="eastAsia"/>
          <w:sz w:val="28"/>
          <w:szCs w:val="28"/>
        </w:rPr>
        <w:t>：</w:t>
      </w:r>
      <w:r w:rsidR="009D4703" w:rsidRPr="009D4703">
        <w:rPr>
          <w:rFonts w:ascii="標楷體" w:eastAsia="標楷體" w:hAnsi="標楷體" w:hint="eastAsia"/>
          <w:sz w:val="28"/>
          <w:szCs w:val="28"/>
        </w:rPr>
        <w:t xml:space="preserve"> 「一、……公司進行併購，其目的之一係為取得公司經營權之控制，持股未過半數之股東間常藉由表決權契約……取得一致行使股東表決權之方式，以強化參與公司經營權。有關股東表決權契約(voting agreement)之效力，因有助於股東間成立策略聯盟及穩定公司決策……為鼓勵公司或股東間成立策略聯盟及進行併購，並穩定公司決策，有關股東表決權契約應回歸股東自治原則及契約自由原則，不應加以禁止，故……明定股東得以書面契約約定其共同行使股東表決權之方式及相關事宜」。</w:t>
      </w:r>
      <w:r w:rsidR="009D4703" w:rsidRPr="009D4703">
        <w:rPr>
          <w:rFonts w:ascii="標楷體" w:eastAsia="標楷體" w:hAnsi="標楷體" w:hint="eastAsia"/>
          <w:sz w:val="28"/>
          <w:szCs w:val="28"/>
        </w:rPr>
        <w:lastRenderedPageBreak/>
        <w:t>準此，鑑於股東表決權拘束契約，有助於經營團隊鞏固公司主導權，提高經營效率，併購公司於進行併購過程之準備階段，以書面與被併購公司其他股東成立股東表決權拘束契約，倘無違背公司治理及公序良俗者，亦應認為有效，始符法意。</w:t>
      </w:r>
    </w:p>
    <w:p w:rsidR="009D4703" w:rsidRPr="009D4703" w:rsidRDefault="00032776" w:rsidP="009D4703">
      <w:pPr>
        <w:ind w:left="560" w:hangingChars="200" w:hanging="560"/>
        <w:rPr>
          <w:rFonts w:ascii="標楷體" w:eastAsia="標楷體" w:hAnsi="標楷體"/>
          <w:sz w:val="28"/>
          <w:szCs w:val="28"/>
        </w:rPr>
      </w:pPr>
      <w:r>
        <w:rPr>
          <w:rFonts w:ascii="標楷體" w:eastAsia="標楷體" w:hAnsi="標楷體" w:hint="eastAsia"/>
          <w:sz w:val="28"/>
          <w:szCs w:val="28"/>
        </w:rPr>
        <w:t>（二）</w:t>
      </w:r>
      <w:r w:rsidR="009D4703" w:rsidRPr="009D4703">
        <w:rPr>
          <w:rFonts w:ascii="標楷體" w:eastAsia="標楷體" w:hAnsi="標楷體" w:hint="eastAsia"/>
          <w:sz w:val="28"/>
          <w:szCs w:val="28"/>
        </w:rPr>
        <w:t>、又解釋契約，應於文義上及論理上詳為推求，以探求當事人立約時之真意，並通觀契約全文，斟酌訂立契約當時及過去之事實、交易上之習慣等其他一切證據資料，本於經驗法則及誠信原則，從契約之主要目的及經濟價值作全盤之觀察，以為其判斷之基礎。財政部為政府機關，尤應注意誠信原則之適用。</w:t>
      </w:r>
    </w:p>
    <w:p w:rsidR="009D4703" w:rsidRPr="009D4703" w:rsidRDefault="00032776" w:rsidP="00627BD7">
      <w:pPr>
        <w:ind w:left="560" w:hangingChars="200" w:hanging="560"/>
        <w:rPr>
          <w:rFonts w:ascii="標楷體" w:eastAsia="標楷體" w:hAnsi="標楷體"/>
          <w:sz w:val="28"/>
          <w:szCs w:val="28"/>
        </w:rPr>
      </w:pPr>
      <w:r>
        <w:rPr>
          <w:rFonts w:ascii="標楷體" w:eastAsia="標楷體" w:hAnsi="標楷體" w:hint="eastAsia"/>
          <w:sz w:val="28"/>
          <w:szCs w:val="28"/>
        </w:rPr>
        <w:t>（三）</w:t>
      </w:r>
      <w:r w:rsidR="009D4703" w:rsidRPr="009D4703">
        <w:rPr>
          <w:rFonts w:ascii="標楷體" w:eastAsia="標楷體" w:hAnsi="標楷體" w:hint="eastAsia"/>
          <w:sz w:val="28"/>
          <w:szCs w:val="28"/>
        </w:rPr>
        <w:t>、查財政部發布94年7 月5 日新聞稿及94年7 月21日函後，兩造嗣並訂立97年、100 年協議書。綜觀上揭函、協議書記載，似財政部為執行公股金融機構整併政策，同意支持所引進之金融機構取得經營權，承諾配合辦理由其取得一定之董監事席次，並配合履約，簽立97年協議書、100 年協議書，則兩造間之系爭契約約定，是否非財政部就其持有股份之表決權，為一定方向之行使之股東表決權拘束契約，洵非無疑，自有探求釐清之必要。</w:t>
      </w:r>
    </w:p>
    <w:p w:rsidR="009D4703" w:rsidRPr="009D4703" w:rsidRDefault="00627BD7" w:rsidP="00627BD7">
      <w:pPr>
        <w:ind w:left="560" w:hangingChars="200" w:hanging="560"/>
        <w:rPr>
          <w:rFonts w:ascii="標楷體" w:eastAsia="標楷體" w:hAnsi="標楷體"/>
          <w:sz w:val="28"/>
          <w:szCs w:val="28"/>
        </w:rPr>
      </w:pPr>
      <w:r>
        <w:rPr>
          <w:rFonts w:ascii="標楷體" w:eastAsia="標楷體" w:hAnsi="標楷體" w:hint="eastAsia"/>
          <w:sz w:val="28"/>
          <w:szCs w:val="28"/>
        </w:rPr>
        <w:t>（四）</w:t>
      </w:r>
      <w:r w:rsidR="009D4703" w:rsidRPr="009D4703">
        <w:rPr>
          <w:rFonts w:ascii="標楷體" w:eastAsia="標楷體" w:hAnsi="標楷體" w:hint="eastAsia"/>
          <w:sz w:val="28"/>
          <w:szCs w:val="28"/>
        </w:rPr>
        <w:t>、又系爭增資案與金融機構整併有關，財政部承諾「在財政部持有彰化銀行之股份未出售前，且台新公司仍為彰化銀行最大股東期間（者）」情形下，應受系爭契約拘束，彰化銀行第21、22、23屆董事選舉，台新公司取得過半數董事席次，其取得經營權之時間</w:t>
      </w:r>
      <w:r w:rsidR="009D4703" w:rsidRPr="009D4703">
        <w:rPr>
          <w:rFonts w:ascii="標楷體" w:eastAsia="標楷體" w:hAnsi="標楷體" w:hint="eastAsia"/>
          <w:sz w:val="28"/>
          <w:szCs w:val="28"/>
        </w:rPr>
        <w:lastRenderedPageBreak/>
        <w:t>長達9 年，財政部未經立法院作成新決議前，不得釋出彰化銀行公股等情，為原審認定之事實。果爾，倘系爭契約因無悖企業併購法相關規定或法意，得認為有效，且屬繼續性契約，則原審所認定「財政部出售持股或台新公司非為彰化銀行最大股東」之解除條件，自締約迄今已逾13年尚未成就。財政部支持台新公司取得經營權之時間是否已逾合理範圍，造成股份與表決權長期分離，對公司治理不利，而其仍應受其拘束，是否有違公序良俗？非無探求之餘地。</w:t>
      </w:r>
    </w:p>
    <w:p w:rsidR="009D4703" w:rsidRDefault="00627BD7" w:rsidP="009D4703">
      <w:pPr>
        <w:ind w:left="560" w:hangingChars="200" w:hanging="560"/>
        <w:rPr>
          <w:rFonts w:ascii="標楷體" w:eastAsia="標楷體" w:hAnsi="標楷體"/>
          <w:sz w:val="28"/>
          <w:szCs w:val="28"/>
        </w:rPr>
      </w:pPr>
      <w:r>
        <w:rPr>
          <w:rFonts w:ascii="標楷體" w:eastAsia="標楷體" w:hAnsi="標楷體" w:hint="eastAsia"/>
          <w:sz w:val="28"/>
          <w:szCs w:val="28"/>
        </w:rPr>
        <w:t>（五）</w:t>
      </w:r>
      <w:r w:rsidR="009D4703" w:rsidRPr="009D4703">
        <w:rPr>
          <w:rFonts w:ascii="標楷體" w:eastAsia="標楷體" w:hAnsi="標楷體" w:hint="eastAsia"/>
          <w:sz w:val="28"/>
          <w:szCs w:val="28"/>
        </w:rPr>
        <w:t>、原審未察，遽謂系爭契約非屬股東表決權拘束契約，已有速斷；嗣又謂縱認其為股東表決權拘束契約，亦無違反公序良俗，仍為有效，亦見疏略。</w:t>
      </w:r>
    </w:p>
    <w:p w:rsidR="00032776" w:rsidRPr="00032776" w:rsidRDefault="00032776" w:rsidP="00627BD7">
      <w:pPr>
        <w:ind w:leftChars="200" w:left="480" w:firstLineChars="1100" w:firstLine="3080"/>
        <w:rPr>
          <w:rFonts w:ascii="標楷體" w:eastAsia="標楷體" w:hAnsi="標楷體"/>
          <w:sz w:val="28"/>
          <w:szCs w:val="28"/>
        </w:rPr>
      </w:pPr>
      <w:r w:rsidRPr="00032776">
        <w:rPr>
          <w:rFonts w:ascii="標楷體" w:eastAsia="標楷體" w:hAnsi="標楷體" w:hint="eastAsia"/>
          <w:sz w:val="28"/>
          <w:szCs w:val="28"/>
        </w:rPr>
        <w:t>最高法院民事第六庭</w:t>
      </w:r>
    </w:p>
    <w:p w:rsidR="00032776" w:rsidRPr="00032776" w:rsidRDefault="00032776" w:rsidP="00032776">
      <w:pPr>
        <w:ind w:left="560" w:hangingChars="200" w:hanging="560"/>
        <w:rPr>
          <w:rFonts w:ascii="標楷體" w:eastAsia="標楷體" w:hAnsi="標楷體"/>
          <w:sz w:val="28"/>
          <w:szCs w:val="28"/>
        </w:rPr>
      </w:pPr>
      <w:r w:rsidRPr="00032776">
        <w:rPr>
          <w:rFonts w:ascii="標楷體" w:eastAsia="標楷體" w:hAnsi="標楷體" w:hint="eastAsia"/>
          <w:sz w:val="28"/>
          <w:szCs w:val="28"/>
        </w:rPr>
        <w:t xml:space="preserve">                                  審判長法官  劉　靜　嫻　</w:t>
      </w:r>
    </w:p>
    <w:p w:rsidR="00032776" w:rsidRPr="00032776" w:rsidRDefault="00032776" w:rsidP="00032776">
      <w:pPr>
        <w:ind w:left="560" w:hangingChars="200" w:hanging="560"/>
        <w:rPr>
          <w:rFonts w:ascii="標楷體" w:eastAsia="標楷體" w:hAnsi="標楷體"/>
          <w:sz w:val="28"/>
          <w:szCs w:val="28"/>
        </w:rPr>
      </w:pPr>
      <w:r w:rsidRPr="00032776">
        <w:rPr>
          <w:rFonts w:ascii="標楷體" w:eastAsia="標楷體" w:hAnsi="標楷體" w:hint="eastAsia"/>
          <w:sz w:val="28"/>
          <w:szCs w:val="28"/>
        </w:rPr>
        <w:t xml:space="preserve">                                        法官  高　金　枝　</w:t>
      </w:r>
    </w:p>
    <w:p w:rsidR="00032776" w:rsidRPr="00032776" w:rsidRDefault="00032776" w:rsidP="00032776">
      <w:pPr>
        <w:ind w:left="560" w:hangingChars="200" w:hanging="560"/>
        <w:rPr>
          <w:rFonts w:ascii="標楷體" w:eastAsia="標楷體" w:hAnsi="標楷體"/>
          <w:sz w:val="28"/>
          <w:szCs w:val="28"/>
        </w:rPr>
      </w:pPr>
      <w:r w:rsidRPr="00032776">
        <w:rPr>
          <w:rFonts w:ascii="標楷體" w:eastAsia="標楷體" w:hAnsi="標楷體" w:hint="eastAsia"/>
          <w:sz w:val="28"/>
          <w:szCs w:val="28"/>
        </w:rPr>
        <w:t xml:space="preserve">                                        法官  李　媛　媛　</w:t>
      </w:r>
    </w:p>
    <w:p w:rsidR="00032776" w:rsidRPr="00032776" w:rsidRDefault="00032776" w:rsidP="00032776">
      <w:pPr>
        <w:ind w:left="560" w:hangingChars="200" w:hanging="560"/>
        <w:rPr>
          <w:rFonts w:ascii="標楷體" w:eastAsia="標楷體" w:hAnsi="標楷體"/>
          <w:sz w:val="28"/>
          <w:szCs w:val="28"/>
        </w:rPr>
      </w:pPr>
      <w:r w:rsidRPr="00032776">
        <w:rPr>
          <w:rFonts w:ascii="標楷體" w:eastAsia="標楷體" w:hAnsi="標楷體" w:hint="eastAsia"/>
          <w:sz w:val="28"/>
          <w:szCs w:val="28"/>
        </w:rPr>
        <w:t xml:space="preserve">                                        法官  林　金　吾　</w:t>
      </w:r>
    </w:p>
    <w:p w:rsidR="00032776" w:rsidRPr="009D4703" w:rsidRDefault="00032776" w:rsidP="00032776">
      <w:pPr>
        <w:ind w:left="560" w:hangingChars="200" w:hanging="560"/>
        <w:rPr>
          <w:rFonts w:ascii="標楷體" w:eastAsia="標楷體" w:hAnsi="標楷體"/>
          <w:sz w:val="28"/>
          <w:szCs w:val="28"/>
        </w:rPr>
      </w:pPr>
      <w:r w:rsidRPr="00032776">
        <w:rPr>
          <w:rFonts w:ascii="標楷體" w:eastAsia="標楷體" w:hAnsi="標楷體" w:hint="eastAsia"/>
          <w:sz w:val="28"/>
          <w:szCs w:val="28"/>
        </w:rPr>
        <w:t xml:space="preserve">                                        法官  林　恩　山　 </w:t>
      </w:r>
      <w:r w:rsidRPr="00032776">
        <w:rPr>
          <w:rFonts w:ascii="標楷體" w:eastAsia="標楷體" w:hAnsi="標楷體"/>
          <w:sz w:val="28"/>
          <w:szCs w:val="28"/>
        </w:rPr>
        <w:cr/>
      </w:r>
    </w:p>
    <w:sectPr w:rsidR="00032776" w:rsidRPr="009D4703" w:rsidSect="00974AC8">
      <w:footerReference w:type="even" r:id="rId8"/>
      <w:footerReference w:type="default" r:id="rId9"/>
      <w:pgSz w:w="11906" w:h="16838"/>
      <w:pgMar w:top="1134"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B04" w:rsidRDefault="00EE4B04">
      <w:r>
        <w:separator/>
      </w:r>
    </w:p>
  </w:endnote>
  <w:endnote w:type="continuationSeparator" w:id="0">
    <w:p w:rsidR="00EE4B04" w:rsidRDefault="00EE4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2DB" w:rsidRDefault="008F72DB" w:rsidP="00721978">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8F72DB" w:rsidRDefault="008F72DB">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2DB" w:rsidRDefault="008F72DB" w:rsidP="00721978">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525AF1">
      <w:rPr>
        <w:rStyle w:val="a7"/>
        <w:noProof/>
      </w:rPr>
      <w:t>1</w:t>
    </w:r>
    <w:r>
      <w:rPr>
        <w:rStyle w:val="a7"/>
      </w:rPr>
      <w:fldChar w:fldCharType="end"/>
    </w:r>
  </w:p>
  <w:p w:rsidR="008F72DB" w:rsidRDefault="008F72DB">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B04" w:rsidRDefault="00EE4B04">
      <w:r>
        <w:separator/>
      </w:r>
    </w:p>
  </w:footnote>
  <w:footnote w:type="continuationSeparator" w:id="0">
    <w:p w:rsidR="00EE4B04" w:rsidRDefault="00EE4B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B63B4"/>
    <w:multiLevelType w:val="hybridMultilevel"/>
    <w:tmpl w:val="F38C0898"/>
    <w:lvl w:ilvl="0" w:tplc="92E290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CD86289"/>
    <w:multiLevelType w:val="hybridMultilevel"/>
    <w:tmpl w:val="A3768066"/>
    <w:lvl w:ilvl="0" w:tplc="6B668EB8">
      <w:start w:val="1"/>
      <w:numFmt w:val="taiwaneseCountingThousand"/>
      <w:lvlText w:val="%1、"/>
      <w:lvlJc w:val="left"/>
      <w:pPr>
        <w:ind w:left="720" w:hanging="720"/>
      </w:pPr>
      <w:rPr>
        <w:rFonts w:ascii="標楷體" w:eastAsia="標楷體" w:hAnsi="標楷體"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 w15:restartNumberingAfterBreak="0">
    <w:nsid w:val="11605165"/>
    <w:multiLevelType w:val="hybridMultilevel"/>
    <w:tmpl w:val="1AF45E84"/>
    <w:lvl w:ilvl="0" w:tplc="7E9E1398">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6156490"/>
    <w:multiLevelType w:val="hybridMultilevel"/>
    <w:tmpl w:val="43708182"/>
    <w:lvl w:ilvl="0" w:tplc="8304CDAE">
      <w:start w:val="2"/>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4" w15:restartNumberingAfterBreak="0">
    <w:nsid w:val="1B136BF6"/>
    <w:multiLevelType w:val="hybridMultilevel"/>
    <w:tmpl w:val="49E68F10"/>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35D6113"/>
    <w:multiLevelType w:val="hybridMultilevel"/>
    <w:tmpl w:val="127A1E68"/>
    <w:lvl w:ilvl="0" w:tplc="0CDEDCE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7900A33"/>
    <w:multiLevelType w:val="hybridMultilevel"/>
    <w:tmpl w:val="81261CEE"/>
    <w:lvl w:ilvl="0" w:tplc="090C90FC">
      <w:start w:val="1"/>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7" w15:restartNumberingAfterBreak="0">
    <w:nsid w:val="298E5FD2"/>
    <w:multiLevelType w:val="hybridMultilevel"/>
    <w:tmpl w:val="21226E02"/>
    <w:lvl w:ilvl="0" w:tplc="3CB2EFB2">
      <w:start w:val="3"/>
      <w:numFmt w:val="taiwaneseCountingThousand"/>
      <w:lvlText w:val="%1、"/>
      <w:lvlJc w:val="left"/>
      <w:pPr>
        <w:ind w:left="720"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9F0202C"/>
    <w:multiLevelType w:val="hybridMultilevel"/>
    <w:tmpl w:val="DA3E2C56"/>
    <w:lvl w:ilvl="0" w:tplc="EFA2A2F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A71799B"/>
    <w:multiLevelType w:val="hybridMultilevel"/>
    <w:tmpl w:val="76A636E2"/>
    <w:lvl w:ilvl="0" w:tplc="9AA2B844">
      <w:start w:val="1"/>
      <w:numFmt w:val="taiwaneseCountingThousand"/>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0" w15:restartNumberingAfterBreak="0">
    <w:nsid w:val="2C213719"/>
    <w:multiLevelType w:val="hybridMultilevel"/>
    <w:tmpl w:val="F312809A"/>
    <w:lvl w:ilvl="0" w:tplc="A934B80A">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5DD3004"/>
    <w:multiLevelType w:val="hybridMultilevel"/>
    <w:tmpl w:val="12604510"/>
    <w:lvl w:ilvl="0" w:tplc="C2EC7782">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79924F7"/>
    <w:multiLevelType w:val="hybridMultilevel"/>
    <w:tmpl w:val="F7A6616A"/>
    <w:lvl w:ilvl="0" w:tplc="6BB8067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8E865B6"/>
    <w:multiLevelType w:val="hybridMultilevel"/>
    <w:tmpl w:val="2D2200E2"/>
    <w:lvl w:ilvl="0" w:tplc="2E141F24">
      <w:start w:val="1"/>
      <w:numFmt w:val="ideographLegalTraditional"/>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0E3E17"/>
    <w:multiLevelType w:val="hybridMultilevel"/>
    <w:tmpl w:val="0C9C385A"/>
    <w:lvl w:ilvl="0" w:tplc="86D87962">
      <w:start w:val="2"/>
      <w:numFmt w:val="ideographLegalTraditional"/>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5" w15:restartNumberingAfterBreak="0">
    <w:nsid w:val="4C92502A"/>
    <w:multiLevelType w:val="hybridMultilevel"/>
    <w:tmpl w:val="BD98E40E"/>
    <w:lvl w:ilvl="0" w:tplc="678CDF30">
      <w:start w:val="1"/>
      <w:numFmt w:val="taiwaneseCountingThousand"/>
      <w:lvlText w:val="%1、"/>
      <w:lvlJc w:val="left"/>
      <w:pPr>
        <w:tabs>
          <w:tab w:val="num" w:pos="720"/>
        </w:tabs>
        <w:ind w:left="720" w:hanging="720"/>
      </w:pPr>
      <w:rPr>
        <w:rFonts w:ascii="Times New Roman" w:eastAsia="新細明體" w:hAnsi="Times New Roman" w:hint="default"/>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CC14E72"/>
    <w:multiLevelType w:val="hybridMultilevel"/>
    <w:tmpl w:val="30D0F7B0"/>
    <w:lvl w:ilvl="0" w:tplc="0BEA8D9C">
      <w:start w:val="1"/>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7" w15:restartNumberingAfterBreak="0">
    <w:nsid w:val="4E5F567A"/>
    <w:multiLevelType w:val="hybridMultilevel"/>
    <w:tmpl w:val="17F68B9A"/>
    <w:lvl w:ilvl="0" w:tplc="04090015">
      <w:start w:val="1"/>
      <w:numFmt w:val="taiwaneseCountingThousand"/>
      <w:lvlText w:val="%1、"/>
      <w:lvlJc w:val="left"/>
      <w:pPr>
        <w:ind w:left="480" w:hanging="48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8" w15:restartNumberingAfterBreak="0">
    <w:nsid w:val="4FDA376E"/>
    <w:multiLevelType w:val="hybridMultilevel"/>
    <w:tmpl w:val="74FC6B30"/>
    <w:lvl w:ilvl="0" w:tplc="DE949938">
      <w:start w:val="1"/>
      <w:numFmt w:val="taiwaneseCountingThousand"/>
      <w:lvlText w:val="%1、"/>
      <w:lvlJc w:val="left"/>
      <w:pPr>
        <w:ind w:left="816" w:hanging="81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5932CE9"/>
    <w:multiLevelType w:val="hybridMultilevel"/>
    <w:tmpl w:val="71925AD4"/>
    <w:lvl w:ilvl="0" w:tplc="39E8094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8B26660"/>
    <w:multiLevelType w:val="hybridMultilevel"/>
    <w:tmpl w:val="FF561AB4"/>
    <w:lvl w:ilvl="0" w:tplc="7F821B76">
      <w:start w:val="2"/>
      <w:numFmt w:val="ideographLegalTraditional"/>
      <w:lvlText w:val="%1、"/>
      <w:lvlJc w:val="left"/>
      <w:pPr>
        <w:tabs>
          <w:tab w:val="num" w:pos="720"/>
        </w:tabs>
        <w:ind w:left="720" w:hanging="720"/>
      </w:pPr>
      <w:rPr>
        <w:rFonts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F2B398F"/>
    <w:multiLevelType w:val="hybridMultilevel"/>
    <w:tmpl w:val="AFB666B6"/>
    <w:lvl w:ilvl="0" w:tplc="C8F6273E">
      <w:start w:val="1"/>
      <w:numFmt w:val="ideographLegalTraditional"/>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2" w15:restartNumberingAfterBreak="0">
    <w:nsid w:val="5F713B99"/>
    <w:multiLevelType w:val="hybridMultilevel"/>
    <w:tmpl w:val="36B071B4"/>
    <w:lvl w:ilvl="0" w:tplc="1C6A8072">
      <w:start w:val="1"/>
      <w:numFmt w:val="taiwaneseCountingThousand"/>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3" w15:restartNumberingAfterBreak="0">
    <w:nsid w:val="60A6012F"/>
    <w:multiLevelType w:val="hybridMultilevel"/>
    <w:tmpl w:val="0916F302"/>
    <w:lvl w:ilvl="0" w:tplc="178CAC62">
      <w:start w:val="2"/>
      <w:numFmt w:val="taiwaneseCountingThousand"/>
      <w:lvlText w:val="%1、"/>
      <w:lvlJc w:val="left"/>
      <w:pPr>
        <w:ind w:left="720" w:hanging="720"/>
      </w:pPr>
      <w:rPr>
        <w:rFonts w:cs="Times New Roman" w:hint="default"/>
      </w:rPr>
    </w:lvl>
    <w:lvl w:ilvl="1" w:tplc="3A9CED06">
      <w:start w:val="2"/>
      <w:numFmt w:val="decimalFullWidth"/>
      <w:lvlText w:val="%2．"/>
      <w:lvlJc w:val="left"/>
      <w:pPr>
        <w:ind w:left="1200" w:hanging="720"/>
      </w:pPr>
      <w:rPr>
        <w:rFonts w:cs="Times New Roman" w:hint="default"/>
      </w:rPr>
    </w:lvl>
    <w:lvl w:ilvl="2" w:tplc="980ED6AC">
      <w:start w:val="1"/>
      <w:numFmt w:val="decimalFullWidth"/>
      <w:lvlText w:val="%3、"/>
      <w:lvlJc w:val="left"/>
      <w:pPr>
        <w:ind w:left="1680" w:hanging="720"/>
      </w:pPr>
      <w:rPr>
        <w:rFonts w:cs="Times New Roman" w:hint="default"/>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4" w15:restartNumberingAfterBreak="0">
    <w:nsid w:val="6A911955"/>
    <w:multiLevelType w:val="hybridMultilevel"/>
    <w:tmpl w:val="7C38F008"/>
    <w:lvl w:ilvl="0" w:tplc="0A14DAC4">
      <w:start w:val="1"/>
      <w:numFmt w:val="taiwaneseCountingThousand"/>
      <w:lvlText w:val="%1、"/>
      <w:lvlJc w:val="left"/>
      <w:pPr>
        <w:ind w:left="480" w:hanging="480"/>
      </w:pPr>
      <w:rPr>
        <w:rFonts w:ascii="標楷體" w:eastAsia="標楷體" w:hAnsi="標楷體"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15:restartNumberingAfterBreak="0">
    <w:nsid w:val="6D632F49"/>
    <w:multiLevelType w:val="hybridMultilevel"/>
    <w:tmpl w:val="BF4C5460"/>
    <w:lvl w:ilvl="0" w:tplc="8548C56E">
      <w:start w:val="1"/>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6" w15:restartNumberingAfterBreak="0">
    <w:nsid w:val="6F851571"/>
    <w:multiLevelType w:val="hybridMultilevel"/>
    <w:tmpl w:val="582617BE"/>
    <w:lvl w:ilvl="0" w:tplc="ED100D52">
      <w:start w:val="2"/>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7" w15:restartNumberingAfterBreak="0">
    <w:nsid w:val="78465EB5"/>
    <w:multiLevelType w:val="hybridMultilevel"/>
    <w:tmpl w:val="642091C6"/>
    <w:lvl w:ilvl="0" w:tplc="0A70AD2E">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5"/>
  </w:num>
  <w:num w:numId="3">
    <w:abstractNumId w:val="21"/>
  </w:num>
  <w:num w:numId="4">
    <w:abstractNumId w:val="17"/>
  </w:num>
  <w:num w:numId="5">
    <w:abstractNumId w:val="1"/>
  </w:num>
  <w:num w:numId="6">
    <w:abstractNumId w:val="8"/>
  </w:num>
  <w:num w:numId="7">
    <w:abstractNumId w:val="19"/>
  </w:num>
  <w:num w:numId="8">
    <w:abstractNumId w:val="12"/>
  </w:num>
  <w:num w:numId="9">
    <w:abstractNumId w:val="15"/>
  </w:num>
  <w:num w:numId="10">
    <w:abstractNumId w:val="10"/>
  </w:num>
  <w:num w:numId="11">
    <w:abstractNumId w:val="2"/>
  </w:num>
  <w:num w:numId="12">
    <w:abstractNumId w:val="4"/>
  </w:num>
  <w:num w:numId="13">
    <w:abstractNumId w:val="11"/>
  </w:num>
  <w:num w:numId="14">
    <w:abstractNumId w:val="27"/>
  </w:num>
  <w:num w:numId="15">
    <w:abstractNumId w:val="14"/>
  </w:num>
  <w:num w:numId="16">
    <w:abstractNumId w:val="20"/>
  </w:num>
  <w:num w:numId="17">
    <w:abstractNumId w:val="24"/>
  </w:num>
  <w:num w:numId="18">
    <w:abstractNumId w:val="9"/>
  </w:num>
  <w:num w:numId="19">
    <w:abstractNumId w:val="18"/>
  </w:num>
  <w:num w:numId="20">
    <w:abstractNumId w:val="13"/>
  </w:num>
  <w:num w:numId="21">
    <w:abstractNumId w:val="22"/>
  </w:num>
  <w:num w:numId="22">
    <w:abstractNumId w:val="25"/>
  </w:num>
  <w:num w:numId="23">
    <w:abstractNumId w:val="16"/>
  </w:num>
  <w:num w:numId="24">
    <w:abstractNumId w:val="26"/>
  </w:num>
  <w:num w:numId="25">
    <w:abstractNumId w:val="6"/>
  </w:num>
  <w:num w:numId="26">
    <w:abstractNumId w:val="3"/>
  </w:num>
  <w:num w:numId="27">
    <w:abstractNumId w:val="23"/>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486"/>
    <w:rsid w:val="00000E7B"/>
    <w:rsid w:val="00002102"/>
    <w:rsid w:val="00003125"/>
    <w:rsid w:val="000047E8"/>
    <w:rsid w:val="000220E9"/>
    <w:rsid w:val="00023135"/>
    <w:rsid w:val="000252FC"/>
    <w:rsid w:val="0002787D"/>
    <w:rsid w:val="000313E5"/>
    <w:rsid w:val="00032776"/>
    <w:rsid w:val="00035421"/>
    <w:rsid w:val="00037F82"/>
    <w:rsid w:val="000539EA"/>
    <w:rsid w:val="00061814"/>
    <w:rsid w:val="000644B7"/>
    <w:rsid w:val="00064692"/>
    <w:rsid w:val="000672C3"/>
    <w:rsid w:val="00070E11"/>
    <w:rsid w:val="00076FE0"/>
    <w:rsid w:val="000B1804"/>
    <w:rsid w:val="000B26D1"/>
    <w:rsid w:val="000B4CA1"/>
    <w:rsid w:val="000B5E87"/>
    <w:rsid w:val="000C01F8"/>
    <w:rsid w:val="000C67D8"/>
    <w:rsid w:val="000D7847"/>
    <w:rsid w:val="000E105E"/>
    <w:rsid w:val="000E199A"/>
    <w:rsid w:val="000E28AD"/>
    <w:rsid w:val="000E49F6"/>
    <w:rsid w:val="000F0871"/>
    <w:rsid w:val="000F152F"/>
    <w:rsid w:val="000F3E51"/>
    <w:rsid w:val="001069FF"/>
    <w:rsid w:val="00110288"/>
    <w:rsid w:val="00112486"/>
    <w:rsid w:val="00112FE9"/>
    <w:rsid w:val="00114205"/>
    <w:rsid w:val="00116207"/>
    <w:rsid w:val="001217A5"/>
    <w:rsid w:val="001248B0"/>
    <w:rsid w:val="00126C24"/>
    <w:rsid w:val="001338AE"/>
    <w:rsid w:val="0013396B"/>
    <w:rsid w:val="00134A31"/>
    <w:rsid w:val="00150FE8"/>
    <w:rsid w:val="00162728"/>
    <w:rsid w:val="001646D3"/>
    <w:rsid w:val="00164C88"/>
    <w:rsid w:val="0017648E"/>
    <w:rsid w:val="00177EC9"/>
    <w:rsid w:val="00181FC1"/>
    <w:rsid w:val="00187446"/>
    <w:rsid w:val="00197D3E"/>
    <w:rsid w:val="001A5F58"/>
    <w:rsid w:val="001A7741"/>
    <w:rsid w:val="001B08B4"/>
    <w:rsid w:val="001B1E09"/>
    <w:rsid w:val="001B3A38"/>
    <w:rsid w:val="001B656E"/>
    <w:rsid w:val="001C0932"/>
    <w:rsid w:val="001C0985"/>
    <w:rsid w:val="001C225A"/>
    <w:rsid w:val="001D69E8"/>
    <w:rsid w:val="001D7423"/>
    <w:rsid w:val="001D789C"/>
    <w:rsid w:val="001E1C98"/>
    <w:rsid w:val="001E45DD"/>
    <w:rsid w:val="001F1CC5"/>
    <w:rsid w:val="001F5621"/>
    <w:rsid w:val="00205448"/>
    <w:rsid w:val="00206A53"/>
    <w:rsid w:val="00214ADD"/>
    <w:rsid w:val="00215A33"/>
    <w:rsid w:val="002173C2"/>
    <w:rsid w:val="00222F6E"/>
    <w:rsid w:val="002234B7"/>
    <w:rsid w:val="002303F5"/>
    <w:rsid w:val="00241C3D"/>
    <w:rsid w:val="00242D60"/>
    <w:rsid w:val="00250ACC"/>
    <w:rsid w:val="00250BB7"/>
    <w:rsid w:val="00253DB1"/>
    <w:rsid w:val="00254E56"/>
    <w:rsid w:val="002557B5"/>
    <w:rsid w:val="0025657B"/>
    <w:rsid w:val="00256AF5"/>
    <w:rsid w:val="002572A3"/>
    <w:rsid w:val="00257563"/>
    <w:rsid w:val="00257A52"/>
    <w:rsid w:val="002600FA"/>
    <w:rsid w:val="00261162"/>
    <w:rsid w:val="002635E3"/>
    <w:rsid w:val="00266D41"/>
    <w:rsid w:val="0026706F"/>
    <w:rsid w:val="0027013E"/>
    <w:rsid w:val="00277F2D"/>
    <w:rsid w:val="00283681"/>
    <w:rsid w:val="00284C65"/>
    <w:rsid w:val="0029419C"/>
    <w:rsid w:val="00295BE0"/>
    <w:rsid w:val="00297C90"/>
    <w:rsid w:val="002B3A46"/>
    <w:rsid w:val="002B5FD5"/>
    <w:rsid w:val="002B71B7"/>
    <w:rsid w:val="002C21E1"/>
    <w:rsid w:val="002C65A7"/>
    <w:rsid w:val="002D1603"/>
    <w:rsid w:val="002D5C6C"/>
    <w:rsid w:val="002F1B7A"/>
    <w:rsid w:val="002F3D6F"/>
    <w:rsid w:val="002F493E"/>
    <w:rsid w:val="00305282"/>
    <w:rsid w:val="00306BF0"/>
    <w:rsid w:val="00322D8C"/>
    <w:rsid w:val="00324FE9"/>
    <w:rsid w:val="00330EBD"/>
    <w:rsid w:val="00343649"/>
    <w:rsid w:val="00350258"/>
    <w:rsid w:val="00351959"/>
    <w:rsid w:val="00354FFC"/>
    <w:rsid w:val="0035536A"/>
    <w:rsid w:val="00356897"/>
    <w:rsid w:val="00361DEC"/>
    <w:rsid w:val="00362426"/>
    <w:rsid w:val="00364B2B"/>
    <w:rsid w:val="00364F5E"/>
    <w:rsid w:val="00365747"/>
    <w:rsid w:val="00365BBC"/>
    <w:rsid w:val="00371285"/>
    <w:rsid w:val="0037237C"/>
    <w:rsid w:val="0037608F"/>
    <w:rsid w:val="0037625A"/>
    <w:rsid w:val="003805C6"/>
    <w:rsid w:val="00382439"/>
    <w:rsid w:val="003826A1"/>
    <w:rsid w:val="00384196"/>
    <w:rsid w:val="00387F23"/>
    <w:rsid w:val="003A550E"/>
    <w:rsid w:val="003B34C2"/>
    <w:rsid w:val="003B4934"/>
    <w:rsid w:val="003C236D"/>
    <w:rsid w:val="003C3D3D"/>
    <w:rsid w:val="003D1127"/>
    <w:rsid w:val="003D56BC"/>
    <w:rsid w:val="003D5F17"/>
    <w:rsid w:val="003D720D"/>
    <w:rsid w:val="003E5646"/>
    <w:rsid w:val="003E5DCA"/>
    <w:rsid w:val="003E64C8"/>
    <w:rsid w:val="003F6DE2"/>
    <w:rsid w:val="0041401B"/>
    <w:rsid w:val="004145BD"/>
    <w:rsid w:val="00415C45"/>
    <w:rsid w:val="0041615E"/>
    <w:rsid w:val="00420D49"/>
    <w:rsid w:val="00425B28"/>
    <w:rsid w:val="0042629A"/>
    <w:rsid w:val="00431FD7"/>
    <w:rsid w:val="00436FB4"/>
    <w:rsid w:val="004376ED"/>
    <w:rsid w:val="004412FD"/>
    <w:rsid w:val="00441440"/>
    <w:rsid w:val="00450C22"/>
    <w:rsid w:val="00463124"/>
    <w:rsid w:val="00463371"/>
    <w:rsid w:val="00465D94"/>
    <w:rsid w:val="00466C82"/>
    <w:rsid w:val="00470EBB"/>
    <w:rsid w:val="004744AE"/>
    <w:rsid w:val="00480A31"/>
    <w:rsid w:val="00484C9C"/>
    <w:rsid w:val="004852E8"/>
    <w:rsid w:val="0049331B"/>
    <w:rsid w:val="0049451A"/>
    <w:rsid w:val="0049607E"/>
    <w:rsid w:val="004A3016"/>
    <w:rsid w:val="004A46F6"/>
    <w:rsid w:val="004C04CE"/>
    <w:rsid w:val="004C0633"/>
    <w:rsid w:val="004C3CAD"/>
    <w:rsid w:val="004C603F"/>
    <w:rsid w:val="004D1B96"/>
    <w:rsid w:val="004D4373"/>
    <w:rsid w:val="004D6E1C"/>
    <w:rsid w:val="004D701C"/>
    <w:rsid w:val="004E1EE0"/>
    <w:rsid w:val="004E3507"/>
    <w:rsid w:val="004E405F"/>
    <w:rsid w:val="004E4735"/>
    <w:rsid w:val="004E5CF6"/>
    <w:rsid w:val="004E605F"/>
    <w:rsid w:val="004F2F8F"/>
    <w:rsid w:val="004F4681"/>
    <w:rsid w:val="004F6DEF"/>
    <w:rsid w:val="00501594"/>
    <w:rsid w:val="00501B5F"/>
    <w:rsid w:val="00502FDB"/>
    <w:rsid w:val="00510FF1"/>
    <w:rsid w:val="00511362"/>
    <w:rsid w:val="0051338C"/>
    <w:rsid w:val="0052019B"/>
    <w:rsid w:val="005214D2"/>
    <w:rsid w:val="00522992"/>
    <w:rsid w:val="00522AD4"/>
    <w:rsid w:val="005254A9"/>
    <w:rsid w:val="00525AF1"/>
    <w:rsid w:val="00532CFB"/>
    <w:rsid w:val="00534FA7"/>
    <w:rsid w:val="00537034"/>
    <w:rsid w:val="00537AD3"/>
    <w:rsid w:val="00543DCB"/>
    <w:rsid w:val="005479BF"/>
    <w:rsid w:val="005714B2"/>
    <w:rsid w:val="00574977"/>
    <w:rsid w:val="005800C4"/>
    <w:rsid w:val="005808E4"/>
    <w:rsid w:val="00587287"/>
    <w:rsid w:val="00592FE6"/>
    <w:rsid w:val="00593759"/>
    <w:rsid w:val="00593AEE"/>
    <w:rsid w:val="00595162"/>
    <w:rsid w:val="005A777A"/>
    <w:rsid w:val="005A7BA7"/>
    <w:rsid w:val="005C0204"/>
    <w:rsid w:val="005C4158"/>
    <w:rsid w:val="005D09ED"/>
    <w:rsid w:val="005D2E2C"/>
    <w:rsid w:val="005D38FF"/>
    <w:rsid w:val="005E2BEB"/>
    <w:rsid w:val="005E2C93"/>
    <w:rsid w:val="005E7248"/>
    <w:rsid w:val="005E7F00"/>
    <w:rsid w:val="005F159B"/>
    <w:rsid w:val="00600033"/>
    <w:rsid w:val="00627BD7"/>
    <w:rsid w:val="00632BC5"/>
    <w:rsid w:val="006472D7"/>
    <w:rsid w:val="0064746A"/>
    <w:rsid w:val="00651406"/>
    <w:rsid w:val="006523F4"/>
    <w:rsid w:val="006537BA"/>
    <w:rsid w:val="00662305"/>
    <w:rsid w:val="006740E3"/>
    <w:rsid w:val="00676374"/>
    <w:rsid w:val="00681D37"/>
    <w:rsid w:val="00682D88"/>
    <w:rsid w:val="00686F81"/>
    <w:rsid w:val="00687E18"/>
    <w:rsid w:val="00692103"/>
    <w:rsid w:val="006A601E"/>
    <w:rsid w:val="006A6689"/>
    <w:rsid w:val="006B7283"/>
    <w:rsid w:val="006C2818"/>
    <w:rsid w:val="006D163C"/>
    <w:rsid w:val="006D60BC"/>
    <w:rsid w:val="006E0178"/>
    <w:rsid w:val="006E4C1A"/>
    <w:rsid w:val="006E62EB"/>
    <w:rsid w:val="006F3E8B"/>
    <w:rsid w:val="006F42DF"/>
    <w:rsid w:val="006F4A70"/>
    <w:rsid w:val="007002FE"/>
    <w:rsid w:val="0071130C"/>
    <w:rsid w:val="00713DB1"/>
    <w:rsid w:val="00714C7E"/>
    <w:rsid w:val="00716986"/>
    <w:rsid w:val="00720E29"/>
    <w:rsid w:val="00721978"/>
    <w:rsid w:val="00730077"/>
    <w:rsid w:val="0073228B"/>
    <w:rsid w:val="007342B2"/>
    <w:rsid w:val="007414EC"/>
    <w:rsid w:val="00744302"/>
    <w:rsid w:val="00745A05"/>
    <w:rsid w:val="00746B46"/>
    <w:rsid w:val="00753A71"/>
    <w:rsid w:val="00754B35"/>
    <w:rsid w:val="007605DC"/>
    <w:rsid w:val="0076383B"/>
    <w:rsid w:val="00764821"/>
    <w:rsid w:val="007725D9"/>
    <w:rsid w:val="00776BCA"/>
    <w:rsid w:val="0078392F"/>
    <w:rsid w:val="0078419D"/>
    <w:rsid w:val="0078444B"/>
    <w:rsid w:val="00786A83"/>
    <w:rsid w:val="007924D6"/>
    <w:rsid w:val="00793E30"/>
    <w:rsid w:val="00793E86"/>
    <w:rsid w:val="00795243"/>
    <w:rsid w:val="00795538"/>
    <w:rsid w:val="00796141"/>
    <w:rsid w:val="007A39B0"/>
    <w:rsid w:val="007A62D5"/>
    <w:rsid w:val="007B1927"/>
    <w:rsid w:val="007B2E47"/>
    <w:rsid w:val="007B4C71"/>
    <w:rsid w:val="007B7393"/>
    <w:rsid w:val="007C3516"/>
    <w:rsid w:val="007C4978"/>
    <w:rsid w:val="007C5624"/>
    <w:rsid w:val="007C592D"/>
    <w:rsid w:val="007C6C85"/>
    <w:rsid w:val="007D2BE5"/>
    <w:rsid w:val="007D3D38"/>
    <w:rsid w:val="007D47F3"/>
    <w:rsid w:val="007D53BB"/>
    <w:rsid w:val="007F2DF9"/>
    <w:rsid w:val="007F3077"/>
    <w:rsid w:val="007F6A7F"/>
    <w:rsid w:val="007F71CD"/>
    <w:rsid w:val="00800F0D"/>
    <w:rsid w:val="00804367"/>
    <w:rsid w:val="008115E8"/>
    <w:rsid w:val="00811942"/>
    <w:rsid w:val="00814A7B"/>
    <w:rsid w:val="008161AA"/>
    <w:rsid w:val="00826A43"/>
    <w:rsid w:val="00830E6F"/>
    <w:rsid w:val="0083596C"/>
    <w:rsid w:val="00836DE3"/>
    <w:rsid w:val="008476C9"/>
    <w:rsid w:val="00847D02"/>
    <w:rsid w:val="0085036B"/>
    <w:rsid w:val="0085729E"/>
    <w:rsid w:val="00857E5B"/>
    <w:rsid w:val="0086068A"/>
    <w:rsid w:val="0086266B"/>
    <w:rsid w:val="0086457B"/>
    <w:rsid w:val="00866721"/>
    <w:rsid w:val="00870718"/>
    <w:rsid w:val="00872E7D"/>
    <w:rsid w:val="00877643"/>
    <w:rsid w:val="008808CB"/>
    <w:rsid w:val="00894DBE"/>
    <w:rsid w:val="00895964"/>
    <w:rsid w:val="008A0823"/>
    <w:rsid w:val="008A75E1"/>
    <w:rsid w:val="008B1CE8"/>
    <w:rsid w:val="008B5C1E"/>
    <w:rsid w:val="008C0BEC"/>
    <w:rsid w:val="008C13EA"/>
    <w:rsid w:val="008C17EC"/>
    <w:rsid w:val="008D5CB2"/>
    <w:rsid w:val="008E2D1D"/>
    <w:rsid w:val="008F07C2"/>
    <w:rsid w:val="008F637A"/>
    <w:rsid w:val="008F72DB"/>
    <w:rsid w:val="0090282C"/>
    <w:rsid w:val="00902DC3"/>
    <w:rsid w:val="009045DE"/>
    <w:rsid w:val="00907C39"/>
    <w:rsid w:val="00910A3F"/>
    <w:rsid w:val="009113F5"/>
    <w:rsid w:val="00913E50"/>
    <w:rsid w:val="009254E1"/>
    <w:rsid w:val="00925D2E"/>
    <w:rsid w:val="009304BC"/>
    <w:rsid w:val="00930851"/>
    <w:rsid w:val="00933DE8"/>
    <w:rsid w:val="00942A4E"/>
    <w:rsid w:val="00942A5F"/>
    <w:rsid w:val="00943E5C"/>
    <w:rsid w:val="00947FEB"/>
    <w:rsid w:val="009640BB"/>
    <w:rsid w:val="009649C8"/>
    <w:rsid w:val="0096747A"/>
    <w:rsid w:val="009723AE"/>
    <w:rsid w:val="0097295E"/>
    <w:rsid w:val="0097420C"/>
    <w:rsid w:val="00974AC8"/>
    <w:rsid w:val="00974AF4"/>
    <w:rsid w:val="00974CE2"/>
    <w:rsid w:val="00976DA3"/>
    <w:rsid w:val="009826EC"/>
    <w:rsid w:val="00983647"/>
    <w:rsid w:val="009855CE"/>
    <w:rsid w:val="00985AE0"/>
    <w:rsid w:val="00994223"/>
    <w:rsid w:val="00994E2B"/>
    <w:rsid w:val="009B4B87"/>
    <w:rsid w:val="009B7595"/>
    <w:rsid w:val="009B7A53"/>
    <w:rsid w:val="009C305B"/>
    <w:rsid w:val="009C3A46"/>
    <w:rsid w:val="009C539B"/>
    <w:rsid w:val="009C702B"/>
    <w:rsid w:val="009C70DC"/>
    <w:rsid w:val="009D4703"/>
    <w:rsid w:val="009E3ADC"/>
    <w:rsid w:val="009E7B69"/>
    <w:rsid w:val="009F0B1E"/>
    <w:rsid w:val="009F190E"/>
    <w:rsid w:val="009F3120"/>
    <w:rsid w:val="009F4A19"/>
    <w:rsid w:val="009F4D03"/>
    <w:rsid w:val="009F6E76"/>
    <w:rsid w:val="009F76F5"/>
    <w:rsid w:val="009F7DED"/>
    <w:rsid w:val="00A030E7"/>
    <w:rsid w:val="00A03544"/>
    <w:rsid w:val="00A03823"/>
    <w:rsid w:val="00A0779A"/>
    <w:rsid w:val="00A111AE"/>
    <w:rsid w:val="00A111C6"/>
    <w:rsid w:val="00A1318F"/>
    <w:rsid w:val="00A17F2D"/>
    <w:rsid w:val="00A20400"/>
    <w:rsid w:val="00A26269"/>
    <w:rsid w:val="00A265C3"/>
    <w:rsid w:val="00A271B3"/>
    <w:rsid w:val="00A300E3"/>
    <w:rsid w:val="00A3350B"/>
    <w:rsid w:val="00A350B7"/>
    <w:rsid w:val="00A410BB"/>
    <w:rsid w:val="00A44E3A"/>
    <w:rsid w:val="00A45C5B"/>
    <w:rsid w:val="00A46ACA"/>
    <w:rsid w:val="00A47B7A"/>
    <w:rsid w:val="00A554D1"/>
    <w:rsid w:val="00A6150C"/>
    <w:rsid w:val="00A61633"/>
    <w:rsid w:val="00A64E71"/>
    <w:rsid w:val="00A6634B"/>
    <w:rsid w:val="00A700B7"/>
    <w:rsid w:val="00A71205"/>
    <w:rsid w:val="00A74B03"/>
    <w:rsid w:val="00A77DE6"/>
    <w:rsid w:val="00A84AE7"/>
    <w:rsid w:val="00A86DA0"/>
    <w:rsid w:val="00A908E9"/>
    <w:rsid w:val="00A93A4A"/>
    <w:rsid w:val="00A93F87"/>
    <w:rsid w:val="00AA4BC0"/>
    <w:rsid w:val="00AB0FFA"/>
    <w:rsid w:val="00AB7950"/>
    <w:rsid w:val="00AC064B"/>
    <w:rsid w:val="00AD2E54"/>
    <w:rsid w:val="00AD5C47"/>
    <w:rsid w:val="00AD7CF3"/>
    <w:rsid w:val="00AE1DB6"/>
    <w:rsid w:val="00AE36B0"/>
    <w:rsid w:val="00AF3D8E"/>
    <w:rsid w:val="00AF5ACB"/>
    <w:rsid w:val="00AF7D47"/>
    <w:rsid w:val="00B06C03"/>
    <w:rsid w:val="00B07A5A"/>
    <w:rsid w:val="00B133C2"/>
    <w:rsid w:val="00B1340A"/>
    <w:rsid w:val="00B13F1F"/>
    <w:rsid w:val="00B151CF"/>
    <w:rsid w:val="00B15997"/>
    <w:rsid w:val="00B21672"/>
    <w:rsid w:val="00B2273F"/>
    <w:rsid w:val="00B26C12"/>
    <w:rsid w:val="00B26CE3"/>
    <w:rsid w:val="00B308EE"/>
    <w:rsid w:val="00B36F17"/>
    <w:rsid w:val="00B37282"/>
    <w:rsid w:val="00B375C2"/>
    <w:rsid w:val="00B42BAA"/>
    <w:rsid w:val="00B451AA"/>
    <w:rsid w:val="00B46FD3"/>
    <w:rsid w:val="00B55BE6"/>
    <w:rsid w:val="00B57AF6"/>
    <w:rsid w:val="00B64DA3"/>
    <w:rsid w:val="00B655FD"/>
    <w:rsid w:val="00B65F42"/>
    <w:rsid w:val="00B66977"/>
    <w:rsid w:val="00B74FD3"/>
    <w:rsid w:val="00B756E6"/>
    <w:rsid w:val="00B771B1"/>
    <w:rsid w:val="00B86DB4"/>
    <w:rsid w:val="00B921EB"/>
    <w:rsid w:val="00B96B39"/>
    <w:rsid w:val="00BA4F45"/>
    <w:rsid w:val="00BA79FA"/>
    <w:rsid w:val="00BB0488"/>
    <w:rsid w:val="00BB2B26"/>
    <w:rsid w:val="00BB3CA6"/>
    <w:rsid w:val="00BC2B80"/>
    <w:rsid w:val="00BC416B"/>
    <w:rsid w:val="00BD017E"/>
    <w:rsid w:val="00BD2570"/>
    <w:rsid w:val="00BD5A83"/>
    <w:rsid w:val="00BD5EA8"/>
    <w:rsid w:val="00BE0D9D"/>
    <w:rsid w:val="00BF14A2"/>
    <w:rsid w:val="00BF7C4A"/>
    <w:rsid w:val="00C01CA2"/>
    <w:rsid w:val="00C03789"/>
    <w:rsid w:val="00C140E0"/>
    <w:rsid w:val="00C15CC1"/>
    <w:rsid w:val="00C223AC"/>
    <w:rsid w:val="00C2252A"/>
    <w:rsid w:val="00C234E5"/>
    <w:rsid w:val="00C3432A"/>
    <w:rsid w:val="00C43173"/>
    <w:rsid w:val="00C437A8"/>
    <w:rsid w:val="00C50BBD"/>
    <w:rsid w:val="00C52565"/>
    <w:rsid w:val="00C63FE1"/>
    <w:rsid w:val="00C656D5"/>
    <w:rsid w:val="00C65ED1"/>
    <w:rsid w:val="00C67268"/>
    <w:rsid w:val="00C71636"/>
    <w:rsid w:val="00C74672"/>
    <w:rsid w:val="00C757CF"/>
    <w:rsid w:val="00C840EC"/>
    <w:rsid w:val="00C966F3"/>
    <w:rsid w:val="00C974C0"/>
    <w:rsid w:val="00CA6711"/>
    <w:rsid w:val="00CB228B"/>
    <w:rsid w:val="00CB607F"/>
    <w:rsid w:val="00CB69B5"/>
    <w:rsid w:val="00CC60B3"/>
    <w:rsid w:val="00CD51A2"/>
    <w:rsid w:val="00CE350E"/>
    <w:rsid w:val="00CE35F0"/>
    <w:rsid w:val="00CE37C1"/>
    <w:rsid w:val="00CF3F2F"/>
    <w:rsid w:val="00CF42C6"/>
    <w:rsid w:val="00CF6FBC"/>
    <w:rsid w:val="00CF7E11"/>
    <w:rsid w:val="00D001F4"/>
    <w:rsid w:val="00D019AE"/>
    <w:rsid w:val="00D02621"/>
    <w:rsid w:val="00D04D72"/>
    <w:rsid w:val="00D056E8"/>
    <w:rsid w:val="00D059BB"/>
    <w:rsid w:val="00D10A19"/>
    <w:rsid w:val="00D11483"/>
    <w:rsid w:val="00D11D0E"/>
    <w:rsid w:val="00D2109B"/>
    <w:rsid w:val="00D212B1"/>
    <w:rsid w:val="00D238D0"/>
    <w:rsid w:val="00D25B55"/>
    <w:rsid w:val="00D32D91"/>
    <w:rsid w:val="00D331A8"/>
    <w:rsid w:val="00D37735"/>
    <w:rsid w:val="00D37967"/>
    <w:rsid w:val="00D42ED7"/>
    <w:rsid w:val="00D51D5D"/>
    <w:rsid w:val="00D527DF"/>
    <w:rsid w:val="00D57D06"/>
    <w:rsid w:val="00D610EC"/>
    <w:rsid w:val="00D64085"/>
    <w:rsid w:val="00D72E12"/>
    <w:rsid w:val="00D82294"/>
    <w:rsid w:val="00D83D48"/>
    <w:rsid w:val="00D84344"/>
    <w:rsid w:val="00D844EE"/>
    <w:rsid w:val="00D939ED"/>
    <w:rsid w:val="00DA0FAC"/>
    <w:rsid w:val="00DA271F"/>
    <w:rsid w:val="00DA328D"/>
    <w:rsid w:val="00DA3D5C"/>
    <w:rsid w:val="00DB2B60"/>
    <w:rsid w:val="00DB6964"/>
    <w:rsid w:val="00DC10D8"/>
    <w:rsid w:val="00DD09CE"/>
    <w:rsid w:val="00DD1D86"/>
    <w:rsid w:val="00DE1133"/>
    <w:rsid w:val="00DE256A"/>
    <w:rsid w:val="00DE5323"/>
    <w:rsid w:val="00DE5A0F"/>
    <w:rsid w:val="00DE5C99"/>
    <w:rsid w:val="00DE621A"/>
    <w:rsid w:val="00DF19BA"/>
    <w:rsid w:val="00DF425F"/>
    <w:rsid w:val="00DF6568"/>
    <w:rsid w:val="00E00945"/>
    <w:rsid w:val="00E01A59"/>
    <w:rsid w:val="00E03739"/>
    <w:rsid w:val="00E06767"/>
    <w:rsid w:val="00E17A83"/>
    <w:rsid w:val="00E25864"/>
    <w:rsid w:val="00E26FBC"/>
    <w:rsid w:val="00E34667"/>
    <w:rsid w:val="00E35C4A"/>
    <w:rsid w:val="00E36D0E"/>
    <w:rsid w:val="00E378B5"/>
    <w:rsid w:val="00E47F02"/>
    <w:rsid w:val="00E61F8B"/>
    <w:rsid w:val="00E81E9E"/>
    <w:rsid w:val="00E85278"/>
    <w:rsid w:val="00E94039"/>
    <w:rsid w:val="00E9605F"/>
    <w:rsid w:val="00E97DBF"/>
    <w:rsid w:val="00EA0E57"/>
    <w:rsid w:val="00EA1817"/>
    <w:rsid w:val="00EA3692"/>
    <w:rsid w:val="00EA5201"/>
    <w:rsid w:val="00EA74BE"/>
    <w:rsid w:val="00EB279A"/>
    <w:rsid w:val="00EB7584"/>
    <w:rsid w:val="00EB7F88"/>
    <w:rsid w:val="00EC2773"/>
    <w:rsid w:val="00EC78F2"/>
    <w:rsid w:val="00ED5C28"/>
    <w:rsid w:val="00ED5C7F"/>
    <w:rsid w:val="00ED742D"/>
    <w:rsid w:val="00EE0B8B"/>
    <w:rsid w:val="00EE39F0"/>
    <w:rsid w:val="00EE4B04"/>
    <w:rsid w:val="00EF45DE"/>
    <w:rsid w:val="00F01D44"/>
    <w:rsid w:val="00F02B58"/>
    <w:rsid w:val="00F0461D"/>
    <w:rsid w:val="00F06066"/>
    <w:rsid w:val="00F07976"/>
    <w:rsid w:val="00F110A8"/>
    <w:rsid w:val="00F156EC"/>
    <w:rsid w:val="00F15EB0"/>
    <w:rsid w:val="00F163AD"/>
    <w:rsid w:val="00F16FE7"/>
    <w:rsid w:val="00F17366"/>
    <w:rsid w:val="00F21AA1"/>
    <w:rsid w:val="00F3170F"/>
    <w:rsid w:val="00F32BAA"/>
    <w:rsid w:val="00F3333E"/>
    <w:rsid w:val="00F34E47"/>
    <w:rsid w:val="00F361D6"/>
    <w:rsid w:val="00F3629B"/>
    <w:rsid w:val="00F406EA"/>
    <w:rsid w:val="00F446E2"/>
    <w:rsid w:val="00F44CF1"/>
    <w:rsid w:val="00F4670B"/>
    <w:rsid w:val="00F5197E"/>
    <w:rsid w:val="00F53074"/>
    <w:rsid w:val="00F642B0"/>
    <w:rsid w:val="00F73407"/>
    <w:rsid w:val="00F76582"/>
    <w:rsid w:val="00F766EB"/>
    <w:rsid w:val="00F77684"/>
    <w:rsid w:val="00F95769"/>
    <w:rsid w:val="00FA08F5"/>
    <w:rsid w:val="00FA11A7"/>
    <w:rsid w:val="00FA669C"/>
    <w:rsid w:val="00FA6C48"/>
    <w:rsid w:val="00FB07BA"/>
    <w:rsid w:val="00FB4390"/>
    <w:rsid w:val="00FB7D63"/>
    <w:rsid w:val="00FD1368"/>
    <w:rsid w:val="00FD2D24"/>
    <w:rsid w:val="00FD3965"/>
    <w:rsid w:val="00FD482F"/>
    <w:rsid w:val="00FE1273"/>
    <w:rsid w:val="00FE4187"/>
    <w:rsid w:val="00FE59B1"/>
    <w:rsid w:val="00FE5F5F"/>
    <w:rsid w:val="00FE6802"/>
    <w:rsid w:val="00FF39E8"/>
    <w:rsid w:val="00FF75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9FCE22"/>
  <w15:chartTrackingRefBased/>
  <w15:docId w15:val="{6486111E-8DF5-45AE-8398-506F82B92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spacing w:line="360" w:lineRule="auto"/>
        <w:jc w:val="both"/>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E127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8476C9"/>
    <w:rPr>
      <w:rFonts w:ascii="Arial" w:hAnsi="Arial"/>
      <w:sz w:val="18"/>
      <w:szCs w:val="18"/>
    </w:rPr>
  </w:style>
  <w:style w:type="paragraph" w:styleId="a5">
    <w:name w:val="header"/>
    <w:basedOn w:val="a"/>
    <w:rsid w:val="0085729E"/>
    <w:pPr>
      <w:tabs>
        <w:tab w:val="center" w:pos="4153"/>
        <w:tab w:val="right" w:pos="8306"/>
      </w:tabs>
      <w:snapToGrid w:val="0"/>
    </w:pPr>
    <w:rPr>
      <w:sz w:val="20"/>
      <w:szCs w:val="20"/>
    </w:rPr>
  </w:style>
  <w:style w:type="paragraph" w:styleId="a6">
    <w:name w:val="footer"/>
    <w:basedOn w:val="a"/>
    <w:rsid w:val="0085729E"/>
    <w:pPr>
      <w:tabs>
        <w:tab w:val="center" w:pos="4153"/>
        <w:tab w:val="right" w:pos="8306"/>
      </w:tabs>
      <w:snapToGrid w:val="0"/>
    </w:pPr>
    <w:rPr>
      <w:sz w:val="20"/>
      <w:szCs w:val="20"/>
    </w:rPr>
  </w:style>
  <w:style w:type="character" w:styleId="a7">
    <w:name w:val="page number"/>
    <w:basedOn w:val="a0"/>
    <w:rsid w:val="0085729E"/>
  </w:style>
  <w:style w:type="paragraph" w:styleId="HTML">
    <w:name w:val="HTML Preformatted"/>
    <w:basedOn w:val="a"/>
    <w:link w:val="HTML0"/>
    <w:rsid w:val="001338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8">
    <w:name w:val="Plain Text"/>
    <w:basedOn w:val="a"/>
    <w:link w:val="a9"/>
    <w:uiPriority w:val="99"/>
    <w:rsid w:val="00F766EB"/>
    <w:rPr>
      <w:rFonts w:ascii="細明體" w:eastAsia="細明體" w:hAnsi="Courier New" w:cs="Courier New"/>
    </w:rPr>
  </w:style>
  <w:style w:type="paragraph" w:customStyle="1" w:styleId="1">
    <w:name w:val="清單段落1"/>
    <w:basedOn w:val="a"/>
    <w:rsid w:val="00D001F4"/>
    <w:pPr>
      <w:ind w:leftChars="200" w:left="480"/>
    </w:pPr>
    <w:rPr>
      <w:rFonts w:ascii="Calibri" w:hAnsi="Calibri"/>
      <w:szCs w:val="22"/>
    </w:rPr>
  </w:style>
  <w:style w:type="character" w:customStyle="1" w:styleId="HTML0">
    <w:name w:val="HTML 預設格式 字元"/>
    <w:link w:val="HTML"/>
    <w:locked/>
    <w:rsid w:val="00D001F4"/>
    <w:rPr>
      <w:rFonts w:ascii="細明體" w:eastAsia="細明體" w:hAnsi="細明體" w:cs="細明體"/>
      <w:sz w:val="24"/>
      <w:szCs w:val="24"/>
      <w:lang w:val="en-US" w:eastAsia="zh-TW" w:bidi="ar-SA"/>
    </w:rPr>
  </w:style>
  <w:style w:type="paragraph" w:styleId="aa">
    <w:name w:val="Salutation"/>
    <w:basedOn w:val="a"/>
    <w:next w:val="a"/>
    <w:link w:val="ab"/>
    <w:rsid w:val="0002787D"/>
    <w:rPr>
      <w:rFonts w:ascii="標楷體" w:eastAsia="標楷體" w:hAnsi="標楷體"/>
      <w:sz w:val="28"/>
      <w:szCs w:val="28"/>
    </w:rPr>
  </w:style>
  <w:style w:type="character" w:customStyle="1" w:styleId="ab">
    <w:name w:val="問候 字元"/>
    <w:link w:val="aa"/>
    <w:locked/>
    <w:rsid w:val="0002787D"/>
    <w:rPr>
      <w:rFonts w:ascii="標楷體" w:eastAsia="標楷體" w:hAnsi="標楷體"/>
      <w:kern w:val="2"/>
      <w:sz w:val="28"/>
      <w:szCs w:val="28"/>
      <w:lang w:val="en-US" w:eastAsia="zh-TW" w:bidi="ar-SA"/>
    </w:rPr>
  </w:style>
  <w:style w:type="character" w:customStyle="1" w:styleId="a9">
    <w:name w:val="純文字 字元"/>
    <w:link w:val="a8"/>
    <w:uiPriority w:val="99"/>
    <w:rsid w:val="00AF5ACB"/>
    <w:rPr>
      <w:rFonts w:ascii="細明體" w:eastAsia="細明體" w:hAnsi="Courier New" w:cs="Courier New"/>
      <w:kern w:val="2"/>
      <w:sz w:val="24"/>
      <w:szCs w:val="24"/>
      <w:lang w:val="en-US" w:eastAsia="zh-TW" w:bidi="ar-SA"/>
    </w:rPr>
  </w:style>
  <w:style w:type="paragraph" w:styleId="ac">
    <w:name w:val="List Paragraph"/>
    <w:basedOn w:val="a"/>
    <w:qFormat/>
    <w:rsid w:val="00A111AE"/>
    <w:pPr>
      <w:ind w:leftChars="200" w:left="480"/>
    </w:pPr>
    <w:rPr>
      <w:rFonts w:ascii="Calibri" w:hAnsi="Calibri"/>
      <w:szCs w:val="22"/>
    </w:rPr>
  </w:style>
  <w:style w:type="character" w:customStyle="1" w:styleId="3">
    <w:name w:val="字元 字元3"/>
    <w:semiHidden/>
    <w:rsid w:val="00330EBD"/>
    <w:rPr>
      <w:rFonts w:ascii="Courier New" w:hAnsi="Courier New" w:cs="Courier New"/>
      <w:kern w:val="2"/>
    </w:rPr>
  </w:style>
  <w:style w:type="paragraph" w:customStyle="1" w:styleId="2">
    <w:name w:val="清單段落2"/>
    <w:basedOn w:val="a"/>
    <w:rsid w:val="008808CB"/>
    <w:pPr>
      <w:ind w:leftChars="200" w:left="480"/>
    </w:pPr>
    <w:rPr>
      <w:rFonts w:ascii="Calibri" w:hAnsi="Calibri"/>
      <w:szCs w:val="22"/>
    </w:rPr>
  </w:style>
  <w:style w:type="paragraph" w:styleId="ad">
    <w:name w:val="Closing"/>
    <w:basedOn w:val="a"/>
    <w:link w:val="ae"/>
    <w:rsid w:val="001B1E09"/>
    <w:pPr>
      <w:ind w:leftChars="1800" w:left="100"/>
    </w:pPr>
    <w:rPr>
      <w:rFonts w:ascii="標楷體" w:eastAsia="標楷體" w:hAnsi="標楷體" w:cs="Arial"/>
      <w:kern w:val="0"/>
      <w:sz w:val="28"/>
    </w:rPr>
  </w:style>
  <w:style w:type="character" w:customStyle="1" w:styleId="ae">
    <w:name w:val="結語 字元"/>
    <w:basedOn w:val="a0"/>
    <w:link w:val="ad"/>
    <w:rsid w:val="001B1E09"/>
    <w:rPr>
      <w:rFonts w:ascii="標楷體" w:eastAsia="標楷體" w:hAnsi="標楷體" w:cs="Arial"/>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489710">
      <w:bodyDiv w:val="1"/>
      <w:marLeft w:val="0"/>
      <w:marRight w:val="0"/>
      <w:marTop w:val="0"/>
      <w:marBottom w:val="0"/>
      <w:divBdr>
        <w:top w:val="none" w:sz="0" w:space="0" w:color="auto"/>
        <w:left w:val="none" w:sz="0" w:space="0" w:color="auto"/>
        <w:bottom w:val="none" w:sz="0" w:space="0" w:color="auto"/>
        <w:right w:val="none" w:sz="0" w:space="0" w:color="auto"/>
      </w:divBdr>
    </w:div>
    <w:div w:id="1801142608">
      <w:bodyDiv w:val="1"/>
      <w:marLeft w:val="0"/>
      <w:marRight w:val="0"/>
      <w:marTop w:val="0"/>
      <w:marBottom w:val="0"/>
      <w:divBdr>
        <w:top w:val="none" w:sz="0" w:space="0" w:color="auto"/>
        <w:left w:val="none" w:sz="0" w:space="0" w:color="auto"/>
        <w:bottom w:val="none" w:sz="0" w:space="0" w:color="auto"/>
        <w:right w:val="none" w:sz="0" w:space="0" w:color="auto"/>
      </w:divBdr>
    </w:div>
    <w:div w:id="1944798983">
      <w:bodyDiv w:val="1"/>
      <w:marLeft w:val="0"/>
      <w:marRight w:val="0"/>
      <w:marTop w:val="0"/>
      <w:marBottom w:val="0"/>
      <w:divBdr>
        <w:top w:val="none" w:sz="0" w:space="0" w:color="auto"/>
        <w:left w:val="none" w:sz="0" w:space="0" w:color="auto"/>
        <w:bottom w:val="none" w:sz="0" w:space="0" w:color="auto"/>
        <w:right w:val="none" w:sz="0" w:space="0" w:color="auto"/>
      </w:divBdr>
    </w:div>
    <w:div w:id="211918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504</Words>
  <Characters>2874</Characters>
  <Application>Microsoft Office Word</Application>
  <DocSecurity>0</DocSecurity>
  <Lines>23</Lines>
  <Paragraphs>6</Paragraphs>
  <ScaleCrop>false</ScaleCrop>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TPS</dc:creator>
  <cp:keywords/>
  <dc:description/>
  <cp:lastModifiedBy>鄭涵文</cp:lastModifiedBy>
  <cp:revision>2</cp:revision>
  <cp:lastPrinted>2019-05-23T06:23:00Z</cp:lastPrinted>
  <dcterms:created xsi:type="dcterms:W3CDTF">2019-05-23T08:15:00Z</dcterms:created>
  <dcterms:modified xsi:type="dcterms:W3CDTF">2019-05-23T08:15:00Z</dcterms:modified>
</cp:coreProperties>
</file>