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2" w:type="dxa"/>
        <w:tblInd w:w="-152" w:type="dxa"/>
        <w:tblCellMar>
          <w:left w:w="28" w:type="dxa"/>
          <w:right w:w="28" w:type="dxa"/>
        </w:tblCellMar>
        <w:tblLook w:val="0000" w:firstRow="0" w:lastRow="0" w:firstColumn="0" w:lastColumn="0" w:noHBand="0" w:noVBand="0"/>
      </w:tblPr>
      <w:tblGrid>
        <w:gridCol w:w="2390"/>
        <w:gridCol w:w="6812"/>
      </w:tblGrid>
      <w:tr w:rsidR="005A7A15" w:rsidRPr="001F2C7C" w:rsidTr="000C7EFB">
        <w:trPr>
          <w:trHeight w:val="1971"/>
        </w:trPr>
        <w:tc>
          <w:tcPr>
            <w:tcW w:w="2390" w:type="dxa"/>
            <w:vAlign w:val="center"/>
          </w:tcPr>
          <w:p w:rsidR="005A7A15" w:rsidRPr="001F2C7C" w:rsidRDefault="008E2B6D" w:rsidP="000C7EFB">
            <w:pPr>
              <w:jc w:val="center"/>
              <w:rPr>
                <w:rFonts w:ascii="華康隸書體W7" w:eastAsia="華康隸書體W7"/>
                <w:b/>
                <w:sz w:val="56"/>
                <w:szCs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5" o:spid="_x0000_i1025" type="#_x0000_t75" style="width:96.5pt;height:93pt;visibility:visible">
                  <v:imagedata r:id="rId7" o:title=""/>
                </v:shape>
              </w:pict>
            </w:r>
            <w:r w:rsidR="005A7A15">
              <w:rPr>
                <w:rFonts w:hint="eastAsia"/>
              </w:rPr>
              <w:t xml:space="preserve">   </w:t>
            </w:r>
          </w:p>
        </w:tc>
        <w:tc>
          <w:tcPr>
            <w:tcW w:w="6812" w:type="dxa"/>
          </w:tcPr>
          <w:p w:rsidR="005A7A15" w:rsidRPr="002A775A" w:rsidRDefault="005A7A15" w:rsidP="000C7EFB">
            <w:pPr>
              <w:ind w:firstLineChars="91" w:firstLine="510"/>
              <w:rPr>
                <w:rFonts w:ascii="標楷體" w:eastAsia="標楷體" w:hAnsi="標楷體"/>
                <w:b/>
                <w:sz w:val="36"/>
                <w:szCs w:val="36"/>
              </w:rPr>
            </w:pPr>
            <w:r>
              <w:rPr>
                <w:rFonts w:ascii="標楷體" w:eastAsia="標楷體" w:hAnsi="標楷體" w:hint="eastAsia"/>
                <w:b/>
                <w:sz w:val="56"/>
                <w:szCs w:val="56"/>
              </w:rPr>
              <w:t>最高行政法院</w:t>
            </w:r>
            <w:r w:rsidRPr="001F2C7C">
              <w:rPr>
                <w:rFonts w:ascii="標楷體" w:eastAsia="標楷體" w:hAnsi="標楷體" w:hint="eastAsia"/>
                <w:b/>
                <w:sz w:val="56"/>
                <w:szCs w:val="56"/>
              </w:rPr>
              <w:t>新聞稿</w:t>
            </w:r>
          </w:p>
          <w:p w:rsidR="006C3EE9" w:rsidRPr="00D57F83" w:rsidRDefault="006C3EE9" w:rsidP="006C3EE9">
            <w:pPr>
              <w:spacing w:line="0" w:lineRule="atLeast"/>
              <w:ind w:firstLineChars="375" w:firstLine="1050"/>
              <w:jc w:val="both"/>
              <w:rPr>
                <w:rFonts w:ascii="標楷體" w:eastAsia="標楷體" w:hAnsi="標楷體"/>
                <w:sz w:val="28"/>
                <w:szCs w:val="28"/>
              </w:rPr>
            </w:pPr>
            <w:r w:rsidRPr="00D57F83">
              <w:rPr>
                <w:rFonts w:ascii="標楷體" w:eastAsia="標楷體" w:hAnsi="標楷體" w:hint="eastAsia"/>
                <w:sz w:val="28"/>
                <w:szCs w:val="28"/>
              </w:rPr>
              <w:t>發稿日期：</w:t>
            </w:r>
            <w:r>
              <w:rPr>
                <w:rFonts w:ascii="標楷體" w:eastAsia="標楷體" w:hAnsi="標楷體" w:hint="eastAsia"/>
                <w:sz w:val="28"/>
                <w:szCs w:val="28"/>
              </w:rPr>
              <w:t>107</w:t>
            </w:r>
            <w:r w:rsidRPr="00D57F83">
              <w:rPr>
                <w:rFonts w:ascii="標楷體" w:eastAsia="標楷體" w:hAnsi="標楷體" w:hint="eastAsia"/>
                <w:sz w:val="28"/>
                <w:szCs w:val="28"/>
              </w:rPr>
              <w:t>年</w:t>
            </w:r>
            <w:r>
              <w:rPr>
                <w:rFonts w:ascii="標楷體" w:eastAsia="標楷體" w:hAnsi="標楷體"/>
                <w:sz w:val="28"/>
                <w:szCs w:val="28"/>
              </w:rPr>
              <w:t>7</w:t>
            </w:r>
            <w:r w:rsidRPr="00D57F83">
              <w:rPr>
                <w:rFonts w:ascii="標楷體" w:eastAsia="標楷體" w:hAnsi="標楷體" w:hint="eastAsia"/>
                <w:sz w:val="28"/>
                <w:szCs w:val="28"/>
              </w:rPr>
              <w:t>月</w:t>
            </w:r>
            <w:r w:rsidR="004F314A">
              <w:rPr>
                <w:rFonts w:ascii="標楷體" w:eastAsia="標楷體" w:hAnsi="標楷體"/>
                <w:sz w:val="28"/>
                <w:szCs w:val="28"/>
              </w:rPr>
              <w:t>26</w:t>
            </w:r>
            <w:r w:rsidRPr="00D57F83">
              <w:rPr>
                <w:rFonts w:ascii="標楷體" w:eastAsia="標楷體" w:hAnsi="標楷體" w:hint="eastAsia"/>
                <w:sz w:val="28"/>
                <w:szCs w:val="28"/>
              </w:rPr>
              <w:t>日</w:t>
            </w:r>
          </w:p>
          <w:p w:rsidR="006C3EE9" w:rsidRPr="001D12F0" w:rsidRDefault="006C3EE9" w:rsidP="006C3EE9">
            <w:pPr>
              <w:spacing w:line="0" w:lineRule="atLeast"/>
              <w:ind w:firstLineChars="375" w:firstLine="1050"/>
              <w:jc w:val="both"/>
              <w:rPr>
                <w:rFonts w:ascii="標楷體" w:eastAsia="標楷體" w:hAnsi="標楷體"/>
                <w:sz w:val="28"/>
                <w:szCs w:val="28"/>
              </w:rPr>
            </w:pPr>
            <w:r w:rsidRPr="00D57F83">
              <w:rPr>
                <w:rFonts w:ascii="標楷體" w:eastAsia="標楷體" w:hAnsi="標楷體" w:hint="eastAsia"/>
                <w:sz w:val="28"/>
                <w:szCs w:val="28"/>
              </w:rPr>
              <w:t>發稿單位：</w:t>
            </w:r>
            <w:r>
              <w:rPr>
                <w:rFonts w:ascii="標楷體" w:eastAsia="標楷體" w:hAnsi="標楷體" w:hint="eastAsia"/>
                <w:sz w:val="28"/>
                <w:szCs w:val="28"/>
              </w:rPr>
              <w:t>審判長兼發言人</w:t>
            </w:r>
          </w:p>
          <w:p w:rsidR="006C3EE9" w:rsidRPr="00192521" w:rsidRDefault="006C3EE9" w:rsidP="006C3EE9">
            <w:pPr>
              <w:spacing w:line="0" w:lineRule="atLeast"/>
              <w:ind w:firstLineChars="375" w:firstLine="1050"/>
              <w:jc w:val="both"/>
              <w:rPr>
                <w:rFonts w:ascii="標楷體" w:eastAsia="標楷體" w:hAnsi="標楷體"/>
                <w:sz w:val="28"/>
                <w:szCs w:val="28"/>
                <w:shd w:val="pct15" w:color="auto" w:fill="FFFFFF"/>
              </w:rPr>
            </w:pPr>
            <w:r w:rsidRPr="00D57F83">
              <w:rPr>
                <w:rFonts w:ascii="標楷體" w:eastAsia="標楷體" w:hAnsi="標楷體" w:hint="eastAsia"/>
                <w:sz w:val="28"/>
                <w:szCs w:val="28"/>
              </w:rPr>
              <w:t>連</w:t>
            </w:r>
            <w:r>
              <w:rPr>
                <w:rFonts w:ascii="標楷體" w:eastAsia="標楷體" w:hAnsi="標楷體" w:hint="eastAsia"/>
                <w:sz w:val="28"/>
                <w:szCs w:val="28"/>
              </w:rPr>
              <w:t xml:space="preserve"> </w:t>
            </w:r>
            <w:r w:rsidRPr="00D57F83">
              <w:rPr>
                <w:rFonts w:ascii="標楷體" w:eastAsia="標楷體" w:hAnsi="標楷體" w:hint="eastAsia"/>
                <w:sz w:val="28"/>
                <w:szCs w:val="28"/>
              </w:rPr>
              <w:t>絡</w:t>
            </w:r>
            <w:r>
              <w:rPr>
                <w:rFonts w:ascii="標楷體" w:eastAsia="標楷體" w:hAnsi="標楷體" w:hint="eastAsia"/>
                <w:sz w:val="28"/>
                <w:szCs w:val="28"/>
              </w:rPr>
              <w:t xml:space="preserve"> </w:t>
            </w:r>
            <w:r w:rsidRPr="00D57F83">
              <w:rPr>
                <w:rFonts w:ascii="標楷體" w:eastAsia="標楷體" w:hAnsi="標楷體" w:hint="eastAsia"/>
                <w:sz w:val="28"/>
                <w:szCs w:val="28"/>
              </w:rPr>
              <w:t>人：</w:t>
            </w:r>
            <w:r>
              <w:rPr>
                <w:rFonts w:ascii="標楷體" w:eastAsia="標楷體" w:hAnsi="標楷體" w:hint="eastAsia"/>
                <w:sz w:val="28"/>
                <w:szCs w:val="28"/>
              </w:rPr>
              <w:t>審判長  鄭小康</w:t>
            </w:r>
          </w:p>
          <w:p w:rsidR="006C3EE9" w:rsidRDefault="006C3EE9" w:rsidP="006C3EE9">
            <w:pPr>
              <w:spacing w:line="0" w:lineRule="atLeast"/>
              <w:ind w:firstLineChars="375" w:firstLine="1050"/>
              <w:rPr>
                <w:rFonts w:ascii="標楷體" w:eastAsia="標楷體" w:hAnsi="標楷體"/>
                <w:sz w:val="28"/>
                <w:szCs w:val="28"/>
              </w:rPr>
            </w:pPr>
            <w:r w:rsidRPr="00D57F83">
              <w:rPr>
                <w:rFonts w:ascii="標楷體" w:eastAsia="標楷體" w:hAnsi="標楷體" w:hint="eastAsia"/>
                <w:sz w:val="28"/>
                <w:szCs w:val="28"/>
              </w:rPr>
              <w:t>連</w:t>
            </w:r>
            <w:r>
              <w:rPr>
                <w:rFonts w:ascii="標楷體" w:eastAsia="標楷體" w:hAnsi="標楷體" w:hint="eastAsia"/>
                <w:sz w:val="28"/>
                <w:szCs w:val="28"/>
              </w:rPr>
              <w:t>絡</w:t>
            </w:r>
            <w:r w:rsidRPr="00D57F83">
              <w:rPr>
                <w:rFonts w:ascii="標楷體" w:eastAsia="標楷體" w:hAnsi="標楷體" w:hint="eastAsia"/>
                <w:sz w:val="28"/>
                <w:szCs w:val="28"/>
              </w:rPr>
              <w:t>電話：</w:t>
            </w:r>
            <w:r>
              <w:rPr>
                <w:rFonts w:ascii="標楷體" w:eastAsia="標楷體" w:hAnsi="標楷體" w:hint="eastAsia"/>
                <w:sz w:val="28"/>
                <w:szCs w:val="28"/>
              </w:rPr>
              <w:t>02-23113691＃112、226</w:t>
            </w:r>
          </w:p>
          <w:p w:rsidR="005A7A15" w:rsidRPr="001F2C7C" w:rsidRDefault="006C3EE9" w:rsidP="006C3EE9">
            <w:pPr>
              <w:spacing w:line="0" w:lineRule="atLeast"/>
              <w:ind w:firstLineChars="375" w:firstLine="1050"/>
              <w:rPr>
                <w:rFonts w:ascii="華康隸書體W7"/>
                <w:b/>
                <w:sz w:val="56"/>
                <w:szCs w:val="56"/>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w:t>
            </w:r>
            <w:r w:rsidRPr="00146202">
              <w:rPr>
                <w:rFonts w:ascii="標楷體" w:eastAsia="標楷體" w:hAnsi="標楷體" w:hint="eastAsia"/>
              </w:rPr>
              <w:t>編號：</w:t>
            </w:r>
            <w:r>
              <w:rPr>
                <w:rFonts w:ascii="標楷體" w:eastAsia="標楷體" w:hAnsi="標楷體" w:hint="eastAsia"/>
              </w:rPr>
              <w:t>107-審</w:t>
            </w:r>
            <w:r w:rsidR="00B52346">
              <w:rPr>
                <w:rFonts w:ascii="標楷體" w:eastAsia="標楷體" w:hAnsi="標楷體" w:hint="eastAsia"/>
              </w:rPr>
              <w:t>08</w:t>
            </w:r>
          </w:p>
        </w:tc>
      </w:tr>
    </w:tbl>
    <w:p w:rsidR="005A7A15" w:rsidRDefault="00E34812" w:rsidP="005A7A15">
      <w:pPr>
        <w:jc w:val="both"/>
        <w:rPr>
          <w:rFonts w:ascii="標楷體" w:eastAsia="標楷體" w:hAnsi="標楷體"/>
          <w:b/>
          <w:sz w:val="32"/>
          <w:szCs w:val="32"/>
        </w:rPr>
      </w:pPr>
      <w:r>
        <w:rPr>
          <w:rFonts w:ascii="標楷體" w:eastAsia="標楷體" w:hAnsi="標楷體"/>
          <w:b/>
          <w:sz w:val="32"/>
          <w:szCs w:val="32"/>
        </w:rPr>
        <w:pict>
          <v:line id="_x0000_s1026" style="position:absolute;left:0;text-align:left;flip:y;z-index:1;mso-position-horizontal-relative:text;mso-position-vertical-relative:text" from="0,15pt" to="423pt,17.85pt" strokeweight="2.25pt"/>
        </w:pict>
      </w:r>
    </w:p>
    <w:p w:rsidR="008C0E19" w:rsidRDefault="005A7A15" w:rsidP="00F85EBD">
      <w:pPr>
        <w:spacing w:line="360" w:lineRule="auto"/>
        <w:jc w:val="both"/>
        <w:rPr>
          <w:rFonts w:ascii="標楷體" w:eastAsia="標楷體" w:hAnsi="標楷體"/>
          <w:b/>
          <w:spacing w:val="8"/>
          <w:sz w:val="32"/>
          <w:szCs w:val="32"/>
        </w:rPr>
      </w:pPr>
      <w:r w:rsidRPr="004D79D6">
        <w:rPr>
          <w:rFonts w:ascii="標楷體" w:eastAsia="標楷體" w:hAnsi="標楷體" w:hint="eastAsia"/>
          <w:b/>
          <w:spacing w:val="8"/>
          <w:sz w:val="32"/>
          <w:szCs w:val="32"/>
        </w:rPr>
        <w:t>最高行政法院就</w:t>
      </w:r>
      <w:r w:rsidR="00492EF9">
        <w:rPr>
          <w:rFonts w:ascii="標楷體" w:eastAsia="標楷體" w:hAnsi="標楷體"/>
          <w:b/>
          <w:spacing w:val="8"/>
          <w:sz w:val="32"/>
          <w:szCs w:val="32"/>
        </w:rPr>
        <w:t>10</w:t>
      </w:r>
      <w:r w:rsidR="00492EF9">
        <w:rPr>
          <w:rFonts w:ascii="標楷體" w:eastAsia="標楷體" w:hAnsi="標楷體" w:hint="eastAsia"/>
          <w:b/>
          <w:spacing w:val="8"/>
          <w:sz w:val="32"/>
          <w:szCs w:val="32"/>
        </w:rPr>
        <w:t>7</w:t>
      </w:r>
      <w:r w:rsidR="007460E2">
        <w:rPr>
          <w:rFonts w:ascii="標楷體" w:eastAsia="標楷體" w:hAnsi="標楷體" w:hint="eastAsia"/>
          <w:b/>
          <w:spacing w:val="8"/>
          <w:sz w:val="32"/>
          <w:szCs w:val="32"/>
        </w:rPr>
        <w:t>年度</w:t>
      </w:r>
      <w:r w:rsidRPr="005A7A15">
        <w:rPr>
          <w:rFonts w:ascii="標楷體" w:eastAsia="標楷體" w:hAnsi="標楷體" w:hint="eastAsia"/>
          <w:b/>
          <w:spacing w:val="8"/>
          <w:sz w:val="32"/>
          <w:szCs w:val="32"/>
        </w:rPr>
        <w:t>判字第</w:t>
      </w:r>
      <w:r w:rsidR="0010117A">
        <w:rPr>
          <w:rFonts w:ascii="標楷體" w:eastAsia="標楷體" w:hAnsi="標楷體" w:hint="eastAsia"/>
          <w:b/>
          <w:spacing w:val="8"/>
          <w:sz w:val="32"/>
          <w:szCs w:val="32"/>
        </w:rPr>
        <w:t>422</w:t>
      </w:r>
      <w:r w:rsidRPr="005A7A15">
        <w:rPr>
          <w:rFonts w:ascii="標楷體" w:eastAsia="標楷體" w:hAnsi="標楷體" w:hint="eastAsia"/>
          <w:b/>
          <w:spacing w:val="8"/>
          <w:sz w:val="32"/>
          <w:szCs w:val="32"/>
        </w:rPr>
        <w:t>號</w:t>
      </w:r>
      <w:r w:rsidR="008E2B6D">
        <w:rPr>
          <w:rFonts w:ascii="標楷體" w:eastAsia="標楷體" w:hAnsi="標楷體" w:hint="eastAsia"/>
          <w:b/>
          <w:spacing w:val="8"/>
          <w:sz w:val="32"/>
          <w:szCs w:val="32"/>
        </w:rPr>
        <w:t>洪石和</w:t>
      </w:r>
      <w:r w:rsidR="008C0E19" w:rsidRPr="008C0E19">
        <w:rPr>
          <w:rFonts w:ascii="標楷體" w:eastAsia="標楷體" w:hAnsi="標楷體" w:hint="eastAsia"/>
          <w:b/>
          <w:spacing w:val="8"/>
          <w:sz w:val="32"/>
          <w:szCs w:val="32"/>
        </w:rPr>
        <w:t>與</w:t>
      </w:r>
      <w:r w:rsidR="00492EF9">
        <w:rPr>
          <w:rFonts w:ascii="標楷體" w:eastAsia="標楷體" w:hAnsi="標楷體" w:hint="eastAsia"/>
          <w:b/>
          <w:spacing w:val="8"/>
          <w:sz w:val="32"/>
          <w:szCs w:val="32"/>
        </w:rPr>
        <w:t>財政部中區國稅局</w:t>
      </w:r>
      <w:r w:rsidR="006D055F">
        <w:rPr>
          <w:rFonts w:ascii="標楷體" w:eastAsia="標楷體" w:hAnsi="標楷體" w:hint="eastAsia"/>
          <w:b/>
          <w:spacing w:val="8"/>
          <w:sz w:val="32"/>
          <w:szCs w:val="32"/>
        </w:rPr>
        <w:t>間</w:t>
      </w:r>
      <w:r w:rsidR="00492EF9">
        <w:rPr>
          <w:rFonts w:ascii="標楷體" w:eastAsia="標楷體" w:hAnsi="標楷體" w:hint="eastAsia"/>
          <w:b/>
          <w:spacing w:val="8"/>
          <w:sz w:val="32"/>
          <w:szCs w:val="32"/>
        </w:rPr>
        <w:t>綜合所得稅</w:t>
      </w:r>
      <w:r w:rsidR="008C0E19" w:rsidRPr="008C0E19">
        <w:rPr>
          <w:rFonts w:ascii="標楷體" w:eastAsia="標楷體" w:hAnsi="標楷體" w:hint="eastAsia"/>
          <w:b/>
          <w:spacing w:val="8"/>
          <w:sz w:val="32"/>
          <w:szCs w:val="32"/>
        </w:rPr>
        <w:t>事件</w:t>
      </w:r>
      <w:r w:rsidR="008C0E19" w:rsidRPr="004D79D6">
        <w:rPr>
          <w:rFonts w:ascii="標楷體" w:eastAsia="標楷體" w:hAnsi="標楷體"/>
          <w:b/>
          <w:spacing w:val="8"/>
          <w:sz w:val="32"/>
          <w:szCs w:val="32"/>
        </w:rPr>
        <w:t>新聞稿</w:t>
      </w:r>
      <w:bookmarkStart w:id="0" w:name="_GoBack"/>
      <w:bookmarkEnd w:id="0"/>
    </w:p>
    <w:p w:rsidR="00492EF9" w:rsidRDefault="006E7CBA" w:rsidP="00F85EBD">
      <w:pPr>
        <w:spacing w:line="360" w:lineRule="auto"/>
        <w:ind w:leftChars="-76" w:left="-182" w:firstLineChars="200" w:firstLine="560"/>
        <w:rPr>
          <w:rFonts w:ascii="標楷體" w:eastAsia="標楷體" w:hAnsi="標楷體"/>
          <w:sz w:val="28"/>
          <w:szCs w:val="28"/>
        </w:rPr>
      </w:pPr>
      <w:r w:rsidRPr="006E7CBA">
        <w:rPr>
          <w:rFonts w:ascii="標楷體" w:eastAsia="標楷體" w:hAnsi="標楷體" w:hint="eastAsia"/>
          <w:sz w:val="28"/>
          <w:szCs w:val="28"/>
        </w:rPr>
        <w:t>本院受理</w:t>
      </w:r>
      <w:r w:rsidRPr="006E7CBA">
        <w:rPr>
          <w:rFonts w:ascii="標楷體" w:eastAsia="標楷體" w:hAnsi="標楷體"/>
          <w:sz w:val="28"/>
          <w:szCs w:val="28"/>
        </w:rPr>
        <w:t>107</w:t>
      </w:r>
      <w:r w:rsidRPr="006E7CBA">
        <w:rPr>
          <w:rFonts w:ascii="標楷體" w:eastAsia="標楷體" w:hAnsi="標楷體" w:hint="eastAsia"/>
          <w:sz w:val="28"/>
          <w:szCs w:val="28"/>
        </w:rPr>
        <w:t>年度判字第</w:t>
      </w:r>
      <w:r w:rsidR="004F314A">
        <w:rPr>
          <w:rFonts w:ascii="標楷體" w:eastAsia="標楷體" w:hAnsi="標楷體" w:hint="eastAsia"/>
          <w:sz w:val="28"/>
          <w:szCs w:val="28"/>
        </w:rPr>
        <w:t>422</w:t>
      </w:r>
      <w:r w:rsidR="00492EF9">
        <w:rPr>
          <w:rFonts w:ascii="標楷體" w:eastAsia="標楷體" w:hAnsi="標楷體" w:hint="eastAsia"/>
          <w:sz w:val="28"/>
          <w:szCs w:val="28"/>
        </w:rPr>
        <w:t>號</w:t>
      </w:r>
      <w:r w:rsidR="008E2B6D">
        <w:rPr>
          <w:rFonts w:ascii="標楷體" w:eastAsia="標楷體" w:hAnsi="標楷體" w:hint="eastAsia"/>
          <w:sz w:val="28"/>
          <w:szCs w:val="28"/>
        </w:rPr>
        <w:t>洪石和</w:t>
      </w:r>
      <w:r w:rsidR="00492EF9" w:rsidRPr="00492EF9">
        <w:rPr>
          <w:rFonts w:ascii="標楷體" w:eastAsia="標楷體" w:hAnsi="標楷體" w:hint="eastAsia"/>
          <w:sz w:val="28"/>
          <w:szCs w:val="28"/>
        </w:rPr>
        <w:t>與財政部中區國稅局</w:t>
      </w:r>
      <w:r w:rsidR="00E33D40">
        <w:rPr>
          <w:rFonts w:ascii="標楷體" w:eastAsia="標楷體" w:hAnsi="標楷體" w:hint="eastAsia"/>
          <w:sz w:val="28"/>
          <w:szCs w:val="28"/>
        </w:rPr>
        <w:t>間</w:t>
      </w:r>
      <w:r w:rsidR="00492EF9" w:rsidRPr="00492EF9">
        <w:rPr>
          <w:rFonts w:ascii="標楷體" w:eastAsia="標楷體" w:hAnsi="標楷體" w:hint="eastAsia"/>
          <w:sz w:val="28"/>
          <w:szCs w:val="28"/>
        </w:rPr>
        <w:t>綜合所得稅事件</w:t>
      </w:r>
      <w:r w:rsidR="00492EF9">
        <w:rPr>
          <w:rFonts w:ascii="標楷體" w:eastAsia="標楷體" w:hAnsi="標楷體" w:hint="eastAsia"/>
          <w:sz w:val="28"/>
          <w:szCs w:val="28"/>
        </w:rPr>
        <w:t>。</w:t>
      </w:r>
    </w:p>
    <w:p w:rsidR="006E7CBA" w:rsidRPr="006E7CBA" w:rsidRDefault="006E7CBA" w:rsidP="00F85EBD">
      <w:pPr>
        <w:spacing w:line="360" w:lineRule="auto"/>
        <w:ind w:leftChars="-76" w:left="-182" w:firstLineChars="200" w:firstLine="560"/>
        <w:rPr>
          <w:rFonts w:ascii="標楷體" w:eastAsia="標楷體" w:hAnsi="標楷體"/>
          <w:sz w:val="28"/>
          <w:szCs w:val="28"/>
        </w:rPr>
      </w:pPr>
      <w:r w:rsidRPr="006E7CBA">
        <w:rPr>
          <w:rFonts w:ascii="標楷體" w:eastAsia="標楷體" w:hAnsi="標楷體" w:hint="eastAsia"/>
          <w:sz w:val="28"/>
          <w:szCs w:val="28"/>
        </w:rPr>
        <w:t>判決</w:t>
      </w:r>
      <w:r w:rsidRPr="006E7CBA">
        <w:rPr>
          <w:rFonts w:ascii="標楷體" w:eastAsia="標楷體" w:hAnsi="標楷體"/>
          <w:sz w:val="28"/>
          <w:szCs w:val="28"/>
        </w:rPr>
        <w:t>:</w:t>
      </w:r>
      <w:r w:rsidRPr="006E7CBA">
        <w:rPr>
          <w:rFonts w:ascii="標楷體" w:eastAsia="標楷體" w:hAnsi="標楷體" w:hint="eastAsia"/>
          <w:sz w:val="28"/>
          <w:szCs w:val="28"/>
        </w:rPr>
        <w:t>原判決廢棄，發回臺</w:t>
      </w:r>
      <w:r w:rsidR="00492EF9">
        <w:rPr>
          <w:rFonts w:ascii="標楷體" w:eastAsia="標楷體" w:hAnsi="標楷體" w:hint="eastAsia"/>
          <w:sz w:val="28"/>
          <w:szCs w:val="28"/>
        </w:rPr>
        <w:t>中</w:t>
      </w:r>
      <w:r w:rsidRPr="006E7CBA">
        <w:rPr>
          <w:rFonts w:ascii="標楷體" w:eastAsia="標楷體" w:hAnsi="標楷體" w:hint="eastAsia"/>
          <w:sz w:val="28"/>
          <w:szCs w:val="28"/>
        </w:rPr>
        <w:t>高等行政法院。</w:t>
      </w:r>
    </w:p>
    <w:p w:rsidR="006E7CBA" w:rsidRDefault="004F314A" w:rsidP="00F85EBD">
      <w:pPr>
        <w:spacing w:line="360" w:lineRule="auto"/>
        <w:ind w:leftChars="-76" w:left="-182" w:firstLineChars="200" w:firstLine="560"/>
        <w:rPr>
          <w:rFonts w:ascii="標楷體" w:eastAsia="標楷體" w:hAnsi="標楷體"/>
          <w:sz w:val="28"/>
          <w:szCs w:val="28"/>
        </w:rPr>
      </w:pPr>
      <w:r>
        <w:rPr>
          <w:rFonts w:ascii="標楷體" w:eastAsia="標楷體" w:hAnsi="標楷體" w:hint="eastAsia"/>
          <w:sz w:val="28"/>
          <w:szCs w:val="28"/>
        </w:rPr>
        <w:t>理  由</w:t>
      </w:r>
    </w:p>
    <w:p w:rsidR="006E7CBA" w:rsidRDefault="006E7CBA" w:rsidP="00F60CA5">
      <w:pPr>
        <w:spacing w:line="360" w:lineRule="auto"/>
        <w:ind w:leftChars="-76" w:left="378" w:hangingChars="200" w:hanging="560"/>
        <w:jc w:val="both"/>
        <w:rPr>
          <w:rFonts w:ascii="標楷體" w:eastAsia="標楷體" w:hAnsi="標楷體"/>
          <w:sz w:val="28"/>
          <w:szCs w:val="28"/>
        </w:rPr>
      </w:pPr>
      <w:r w:rsidRPr="006E7CBA">
        <w:rPr>
          <w:rFonts w:ascii="標楷體" w:eastAsia="標楷體" w:hAnsi="標楷體" w:hint="eastAsia"/>
          <w:sz w:val="28"/>
          <w:szCs w:val="28"/>
        </w:rPr>
        <w:t>一、</w:t>
      </w:r>
      <w:r w:rsidR="006713DA">
        <w:rPr>
          <w:rFonts w:ascii="標楷體" w:eastAsia="標楷體" w:hAnsi="標楷體" w:hint="eastAsia"/>
          <w:sz w:val="28"/>
          <w:szCs w:val="28"/>
        </w:rPr>
        <w:t>被上訴人認定</w:t>
      </w:r>
      <w:r w:rsidR="00492EF9" w:rsidRPr="00492EF9">
        <w:rPr>
          <w:rFonts w:ascii="標楷體" w:eastAsia="標楷體" w:hAnsi="標楷體" w:hint="eastAsia"/>
          <w:sz w:val="28"/>
          <w:szCs w:val="28"/>
        </w:rPr>
        <w:t>上訴人以教授氣功向學員收取學費，惟未依法辦理80</w:t>
      </w:r>
      <w:r w:rsidR="006713DA">
        <w:rPr>
          <w:rFonts w:ascii="標楷體" w:eastAsia="標楷體" w:hAnsi="標楷體" w:hint="eastAsia"/>
          <w:sz w:val="28"/>
          <w:szCs w:val="28"/>
        </w:rPr>
        <w:t>、</w:t>
      </w:r>
      <w:r w:rsidR="002A52FB">
        <w:rPr>
          <w:rFonts w:ascii="標楷體" w:eastAsia="標楷體" w:hAnsi="標楷體" w:hint="eastAsia"/>
          <w:sz w:val="28"/>
          <w:szCs w:val="28"/>
        </w:rPr>
        <w:t>82</w:t>
      </w:r>
      <w:r w:rsidR="00492EF9" w:rsidRPr="00492EF9">
        <w:rPr>
          <w:rFonts w:ascii="標楷體" w:eastAsia="標楷體" w:hAnsi="標楷體" w:hint="eastAsia"/>
          <w:sz w:val="28"/>
          <w:szCs w:val="28"/>
        </w:rPr>
        <w:t>至84年度綜合所得稅結算申報，</w:t>
      </w:r>
      <w:r w:rsidR="002A52FB" w:rsidRPr="002A52FB">
        <w:rPr>
          <w:rFonts w:ascii="標楷體" w:eastAsia="標楷體" w:hAnsi="標楷體" w:hint="eastAsia"/>
          <w:sz w:val="28"/>
          <w:szCs w:val="28"/>
        </w:rPr>
        <w:t>除補徵應納稅額外，並分別裁處罰鍰</w:t>
      </w:r>
      <w:r w:rsidR="002A52FB">
        <w:rPr>
          <w:rFonts w:ascii="標楷體" w:eastAsia="標楷體" w:hAnsi="標楷體" w:hint="eastAsia"/>
          <w:sz w:val="28"/>
          <w:szCs w:val="28"/>
        </w:rPr>
        <w:t>，上訴人不服，迭經行政救濟，最後（即第5次）</w:t>
      </w:r>
      <w:r w:rsidR="002A52FB" w:rsidRPr="002A52FB">
        <w:rPr>
          <w:rFonts w:ascii="標楷體" w:eastAsia="標楷體" w:hAnsi="標楷體" w:hint="eastAsia"/>
          <w:sz w:val="28"/>
          <w:szCs w:val="28"/>
        </w:rPr>
        <w:t>經被上訴人審核結果，以</w:t>
      </w:r>
      <w:r w:rsidR="00E33D40">
        <w:rPr>
          <w:rFonts w:ascii="標楷體" w:eastAsia="標楷體" w:hAnsi="標楷體" w:hint="eastAsia"/>
          <w:sz w:val="28"/>
          <w:szCs w:val="28"/>
        </w:rPr>
        <w:t>民國</w:t>
      </w:r>
      <w:r w:rsidR="002A52FB" w:rsidRPr="002A52FB">
        <w:rPr>
          <w:rFonts w:ascii="標楷體" w:eastAsia="標楷體" w:hAnsi="標楷體" w:hint="eastAsia"/>
          <w:sz w:val="28"/>
          <w:szCs w:val="28"/>
        </w:rPr>
        <w:t>102年11月27日中區國稅法二字第1020016445號重核復查決定，變更核定80、82至84年度其他所得</w:t>
      </w:r>
      <w:r w:rsidR="00E33D40">
        <w:rPr>
          <w:rFonts w:ascii="標楷體" w:eastAsia="標楷體" w:hAnsi="標楷體" w:hint="eastAsia"/>
          <w:sz w:val="28"/>
          <w:szCs w:val="28"/>
        </w:rPr>
        <w:t>新臺幣（下同）</w:t>
      </w:r>
      <w:r w:rsidR="002A52FB" w:rsidRPr="002A52FB">
        <w:rPr>
          <w:rFonts w:ascii="標楷體" w:eastAsia="標楷體" w:hAnsi="標楷體" w:hint="eastAsia"/>
          <w:sz w:val="28"/>
          <w:szCs w:val="28"/>
        </w:rPr>
        <w:t>1,010,274元、18,609,399元、24,054,091元、33,416,474元，及罰鍰82,880元、6,932,668元、8,910,340元、12,572,517元</w:t>
      </w:r>
      <w:r w:rsidR="002A52FB">
        <w:rPr>
          <w:rFonts w:ascii="標楷體" w:eastAsia="標楷體" w:hAnsi="標楷體" w:hint="eastAsia"/>
          <w:sz w:val="28"/>
          <w:szCs w:val="28"/>
        </w:rPr>
        <w:t>，上訴人仍不服，迭經行政救濟後，經原判決為原告之訴駁回</w:t>
      </w:r>
      <w:r w:rsidRPr="006E7CBA">
        <w:rPr>
          <w:rFonts w:ascii="標楷體" w:eastAsia="標楷體" w:hAnsi="標楷體" w:hint="eastAsia"/>
          <w:sz w:val="28"/>
          <w:szCs w:val="28"/>
        </w:rPr>
        <w:t>之判決。</w:t>
      </w:r>
    </w:p>
    <w:p w:rsidR="006E7CBA" w:rsidRDefault="002A52FB" w:rsidP="00B5789E">
      <w:pPr>
        <w:spacing w:line="360" w:lineRule="auto"/>
        <w:ind w:leftChars="-76" w:left="378" w:hangingChars="200" w:hanging="560"/>
        <w:rPr>
          <w:rFonts w:ascii="標楷體" w:eastAsia="標楷體" w:hAnsi="標楷體"/>
          <w:sz w:val="28"/>
          <w:szCs w:val="28"/>
        </w:rPr>
      </w:pPr>
      <w:r>
        <w:rPr>
          <w:rFonts w:ascii="標楷體" w:eastAsia="標楷體" w:hAnsi="標楷體" w:hint="eastAsia"/>
          <w:sz w:val="28"/>
          <w:szCs w:val="28"/>
        </w:rPr>
        <w:lastRenderedPageBreak/>
        <w:t>二、臺中</w:t>
      </w:r>
      <w:r w:rsidR="006E7CBA" w:rsidRPr="006E7CBA">
        <w:rPr>
          <w:rFonts w:ascii="標楷體" w:eastAsia="標楷體" w:hAnsi="標楷體" w:hint="eastAsia"/>
          <w:sz w:val="28"/>
          <w:szCs w:val="28"/>
        </w:rPr>
        <w:t>高等行政法院</w:t>
      </w:r>
      <w:r>
        <w:rPr>
          <w:rFonts w:ascii="標楷體" w:eastAsia="標楷體" w:hAnsi="標楷體"/>
          <w:sz w:val="28"/>
          <w:szCs w:val="28"/>
        </w:rPr>
        <w:t>10</w:t>
      </w:r>
      <w:r>
        <w:rPr>
          <w:rFonts w:ascii="標楷體" w:eastAsia="標楷體" w:hAnsi="標楷體" w:hint="eastAsia"/>
          <w:sz w:val="28"/>
          <w:szCs w:val="28"/>
        </w:rPr>
        <w:t>4</w:t>
      </w:r>
      <w:r w:rsidR="006E7CBA" w:rsidRPr="006E7CBA">
        <w:rPr>
          <w:rFonts w:ascii="標楷體" w:eastAsia="標楷體" w:hAnsi="標楷體" w:hint="eastAsia"/>
          <w:sz w:val="28"/>
          <w:szCs w:val="28"/>
        </w:rPr>
        <w:t>年度訴字第</w:t>
      </w:r>
      <w:r>
        <w:rPr>
          <w:rFonts w:ascii="標楷體" w:eastAsia="標楷體" w:hAnsi="標楷體" w:hint="eastAsia"/>
          <w:sz w:val="28"/>
          <w:szCs w:val="28"/>
        </w:rPr>
        <w:t>228</w:t>
      </w:r>
      <w:r w:rsidR="006E7CBA" w:rsidRPr="006E7CBA">
        <w:rPr>
          <w:rFonts w:ascii="標楷體" w:eastAsia="標楷體" w:hAnsi="標楷體" w:hint="eastAsia"/>
          <w:sz w:val="28"/>
          <w:szCs w:val="28"/>
        </w:rPr>
        <w:t>號判決以：</w:t>
      </w:r>
      <w:r w:rsidR="00B5789E" w:rsidRPr="00B5789E">
        <w:rPr>
          <w:rFonts w:ascii="標楷體" w:eastAsia="標楷體" w:hAnsi="標楷體" w:hint="eastAsia"/>
          <w:sz w:val="28"/>
          <w:szCs w:val="28"/>
        </w:rPr>
        <w:t>對於上述被上訴人</w:t>
      </w:r>
      <w:r w:rsidR="00E33D40">
        <w:rPr>
          <w:rFonts w:ascii="標楷體" w:eastAsia="標楷體" w:hAnsi="標楷體" w:hint="eastAsia"/>
          <w:sz w:val="28"/>
          <w:szCs w:val="28"/>
        </w:rPr>
        <w:t>就上訴人帳戶餘額中，認贈與占其中</w:t>
      </w:r>
      <w:r w:rsidR="00B5789E" w:rsidRPr="00B5789E">
        <w:rPr>
          <w:rFonts w:ascii="標楷體" w:eastAsia="標楷體" w:hAnsi="標楷體" w:hint="eastAsia"/>
          <w:sz w:val="28"/>
          <w:szCs w:val="28"/>
        </w:rPr>
        <w:t>50</w:t>
      </w:r>
      <w:r w:rsidR="00E33D40">
        <w:rPr>
          <w:rFonts w:ascii="標楷體" w:eastAsia="標楷體" w:hAnsi="標楷體" w:hint="eastAsia"/>
          <w:sz w:val="28"/>
          <w:szCs w:val="28"/>
        </w:rPr>
        <w:t>％之合理性，經審查應屬適當</w:t>
      </w:r>
      <w:r w:rsidR="00B5789E" w:rsidRPr="00B5789E">
        <w:rPr>
          <w:rFonts w:ascii="標楷體" w:eastAsia="標楷體" w:hAnsi="標楷體" w:hint="eastAsia"/>
          <w:sz w:val="28"/>
          <w:szCs w:val="28"/>
        </w:rPr>
        <w:t>，另被上訴人審酌其確有購置練功場地、投入設置及使用成本之必要，性質與「其他未分類個人服務業」較為相近，乃以該業別之淨利率（80年度12％，82至84年度10％），所隱含之成本及必要費用率（80年度88％，82至84年度90％）作為上訴人之成本及必要費用率，成本及必要費用率之選擇尚屬合理</w:t>
      </w:r>
      <w:r w:rsidR="006E7CBA" w:rsidRPr="006E7CBA">
        <w:rPr>
          <w:rFonts w:ascii="標楷體" w:eastAsia="標楷體" w:hAnsi="標楷體" w:hint="eastAsia"/>
          <w:sz w:val="28"/>
          <w:szCs w:val="28"/>
        </w:rPr>
        <w:t>等語，而為上開之判決。</w:t>
      </w:r>
    </w:p>
    <w:p w:rsidR="004F314A" w:rsidRDefault="006E7CBA" w:rsidP="004F314A">
      <w:pPr>
        <w:spacing w:line="360" w:lineRule="auto"/>
        <w:ind w:leftChars="-76" w:left="-182"/>
        <w:rPr>
          <w:rFonts w:ascii="標楷體" w:eastAsia="標楷體" w:hAnsi="標楷體"/>
          <w:sz w:val="28"/>
          <w:szCs w:val="28"/>
        </w:rPr>
      </w:pPr>
      <w:r w:rsidRPr="006E7CBA">
        <w:rPr>
          <w:rFonts w:ascii="標楷體" w:eastAsia="標楷體" w:hAnsi="標楷體" w:hint="eastAsia"/>
          <w:sz w:val="28"/>
          <w:szCs w:val="28"/>
        </w:rPr>
        <w:t>三、本院判決以</w:t>
      </w:r>
      <w:r w:rsidR="004F314A">
        <w:rPr>
          <w:rFonts w:ascii="標楷體" w:eastAsia="標楷體" w:hAnsi="標楷體" w:hint="eastAsia"/>
          <w:sz w:val="28"/>
          <w:szCs w:val="28"/>
        </w:rPr>
        <w:t>：</w:t>
      </w:r>
    </w:p>
    <w:p w:rsidR="004F314A" w:rsidRDefault="004F314A" w:rsidP="004F314A">
      <w:pPr>
        <w:spacing w:line="360" w:lineRule="auto"/>
        <w:ind w:leftChars="124" w:left="1138" w:hangingChars="300" w:hanging="840"/>
        <w:rPr>
          <w:rFonts w:ascii="標楷體" w:eastAsia="標楷體" w:hAnsi="標楷體"/>
          <w:sz w:val="28"/>
          <w:szCs w:val="28"/>
        </w:rPr>
      </w:pPr>
      <w:r w:rsidRPr="00856117">
        <w:rPr>
          <w:rFonts w:ascii="標楷體" w:eastAsia="標楷體" w:hAnsi="標楷體" w:hint="eastAsia"/>
          <w:sz w:val="28"/>
          <w:szCs w:val="28"/>
        </w:rPr>
        <w:t>（一）</w:t>
      </w:r>
      <w:r w:rsidR="007340D1" w:rsidRPr="007340D1">
        <w:rPr>
          <w:rFonts w:ascii="標楷體" w:eastAsia="標楷體" w:hAnsi="標楷體" w:hint="eastAsia"/>
          <w:sz w:val="28"/>
          <w:szCs w:val="28"/>
        </w:rPr>
        <w:t>上訴人所開設之太極門為氣功武術修行門派，被上訴人未詳細調查太極門之屬性及特質及對於太極門之運作，即以教授氣功乃上訴人之經常活動，逕認系爭帳戶中上訴人之教學收入必然大於受贈金額，顯無憑據，</w:t>
      </w:r>
      <w:r w:rsidR="00E33D40">
        <w:rPr>
          <w:rFonts w:ascii="標楷體" w:eastAsia="標楷體" w:hAnsi="標楷體" w:hint="eastAsia"/>
          <w:sz w:val="28"/>
          <w:szCs w:val="28"/>
        </w:rPr>
        <w:t>原</w:t>
      </w:r>
      <w:r w:rsidR="007340D1" w:rsidRPr="007340D1">
        <w:rPr>
          <w:rFonts w:ascii="標楷體" w:eastAsia="標楷體" w:hAnsi="標楷體" w:hint="eastAsia"/>
          <w:sz w:val="28"/>
          <w:szCs w:val="28"/>
        </w:rPr>
        <w:t>判決直接認定「太</w:t>
      </w:r>
      <w:r w:rsidR="00FE6383">
        <w:rPr>
          <w:rFonts w:ascii="標楷體" w:eastAsia="標楷體" w:hAnsi="標楷體" w:hint="eastAsia"/>
          <w:sz w:val="28"/>
          <w:szCs w:val="28"/>
        </w:rPr>
        <w:t>極門各道館以教授氣功為主要活動內容」，</w:t>
      </w:r>
      <w:r w:rsidR="007340D1" w:rsidRPr="007340D1">
        <w:rPr>
          <w:rFonts w:ascii="標楷體" w:eastAsia="標楷體" w:hAnsi="標楷體" w:hint="eastAsia"/>
          <w:sz w:val="28"/>
          <w:szCs w:val="28"/>
        </w:rPr>
        <w:t>有判決不備理由違法。</w:t>
      </w:r>
    </w:p>
    <w:p w:rsidR="006A02D0" w:rsidRDefault="004F314A" w:rsidP="004F314A">
      <w:pPr>
        <w:spacing w:line="360" w:lineRule="auto"/>
        <w:ind w:leftChars="124" w:left="1138" w:hangingChars="300" w:hanging="840"/>
        <w:rPr>
          <w:rFonts w:ascii="標楷體" w:eastAsia="標楷體" w:hAnsi="標楷體"/>
          <w:sz w:val="28"/>
          <w:szCs w:val="28"/>
        </w:rPr>
      </w:pPr>
      <w:r>
        <w:rPr>
          <w:rFonts w:ascii="標楷體" w:eastAsia="標楷體" w:hAnsi="標楷體" w:hint="eastAsia"/>
          <w:sz w:val="28"/>
          <w:szCs w:val="28"/>
        </w:rPr>
        <w:t>（二）</w:t>
      </w:r>
      <w:r w:rsidR="006A02D0" w:rsidRPr="00FE6383">
        <w:rPr>
          <w:rFonts w:ascii="標楷體" w:eastAsia="標楷體" w:hAnsi="標楷體" w:hint="eastAsia"/>
          <w:sz w:val="28"/>
          <w:szCs w:val="28"/>
        </w:rPr>
        <w:t>「地檢署查得之4,644人學員名冊」，僅係刑事案件中，上訴人所呈送法院表達弟子贈與心意之贈與見證書名單，並非完整之學員名冊，則其以該部分學員名冊作為基礎，自非合理。</w:t>
      </w:r>
    </w:p>
    <w:p w:rsidR="006A02D0" w:rsidRDefault="004F314A" w:rsidP="00363D01">
      <w:pPr>
        <w:ind w:leftChars="100" w:left="1080" w:hangingChars="300" w:hanging="840"/>
        <w:jc w:val="both"/>
        <w:rPr>
          <w:rFonts w:ascii="標楷體" w:eastAsia="標楷體" w:hAnsi="標楷體"/>
          <w:sz w:val="28"/>
          <w:szCs w:val="28"/>
        </w:rPr>
      </w:pPr>
      <w:r>
        <w:rPr>
          <w:rFonts w:ascii="標楷體" w:eastAsia="標楷體" w:hAnsi="標楷體" w:hint="eastAsia"/>
          <w:sz w:val="28"/>
          <w:szCs w:val="28"/>
        </w:rPr>
        <w:t>（三）</w:t>
      </w:r>
      <w:r w:rsidR="006A02D0" w:rsidRPr="00FE6383">
        <w:rPr>
          <w:rFonts w:ascii="標楷體" w:eastAsia="標楷體" w:hAnsi="標楷體" w:hint="eastAsia"/>
          <w:sz w:val="28"/>
          <w:szCs w:val="28"/>
        </w:rPr>
        <w:t>被上訴人基於100年12月9</w:t>
      </w:r>
      <w:r>
        <w:rPr>
          <w:rFonts w:ascii="標楷體" w:eastAsia="標楷體" w:hAnsi="標楷體" w:hint="eastAsia"/>
          <w:sz w:val="28"/>
          <w:szCs w:val="28"/>
        </w:rPr>
        <w:t>日召開跨部會協調會議之會議紀錄，</w:t>
      </w:r>
      <w:r w:rsidR="006A02D0" w:rsidRPr="00FE6383">
        <w:rPr>
          <w:rFonts w:ascii="標楷體" w:eastAsia="標楷體" w:hAnsi="標楷體" w:hint="eastAsia"/>
          <w:sz w:val="28"/>
          <w:szCs w:val="28"/>
        </w:rPr>
        <w:t>由太極門學員於公告期間2個月內，聲明給付上訴人之款項究為贈與或學費，其中7,401申明人皆表明敬師禮為贈與。</w:t>
      </w:r>
      <w:r w:rsidR="006A02D0" w:rsidRPr="00FE6383">
        <w:rPr>
          <w:rFonts w:ascii="標楷體" w:eastAsia="標楷體" w:hAnsi="標楷體" w:hint="eastAsia"/>
          <w:sz w:val="28"/>
          <w:szCs w:val="28"/>
        </w:rPr>
        <w:lastRenderedPageBreak/>
        <w:t>原判決比對上開申明表申明贈與者與查得學員名冊身分證統一編號相符人數合計2,010人，計算僅占「地檢署查得之4,644人學員名冊」之43.28﹪，說明被上訴人認定甲乙帳戶上開餘額中贈與占50%，乃有利於上訴人之認定乙節，係將兩種不相同調查程序所提之名冊混在一起計算，與論理法則未盡相符。</w:t>
      </w:r>
    </w:p>
    <w:p w:rsidR="006A02D0" w:rsidRDefault="006A02D0" w:rsidP="00856117">
      <w:pPr>
        <w:ind w:leftChars="200" w:left="1040" w:hangingChars="200" w:hanging="560"/>
        <w:jc w:val="both"/>
      </w:pPr>
      <w:r>
        <w:rPr>
          <w:rFonts w:ascii="標楷體" w:eastAsia="標楷體" w:hAnsi="標楷體" w:hint="eastAsia"/>
          <w:sz w:val="28"/>
          <w:szCs w:val="28"/>
        </w:rPr>
        <w:t>(四)被上訴人因認</w:t>
      </w:r>
      <w:r w:rsidRPr="004819B6">
        <w:rPr>
          <w:rFonts w:ascii="標楷體" w:eastAsia="標楷體" w:hAnsi="標楷體" w:hint="eastAsia"/>
          <w:sz w:val="28"/>
          <w:szCs w:val="28"/>
        </w:rPr>
        <w:t>上訴人性質與「其他未分類個人服務業」較為相近，以該業別之成本及必要費用率（80年度88％，82至84年度90％）作為上訴人之成本及必要費用率</w:t>
      </w:r>
      <w:r>
        <w:rPr>
          <w:rFonts w:ascii="標楷體" w:eastAsia="標楷體" w:hAnsi="標楷體" w:hint="eastAsia"/>
          <w:sz w:val="28"/>
          <w:szCs w:val="28"/>
        </w:rPr>
        <w:t>，</w:t>
      </w:r>
      <w:r w:rsidRPr="00FE6383">
        <w:rPr>
          <w:rFonts w:ascii="標楷體" w:eastAsia="標楷體" w:hAnsi="標楷體" w:hint="eastAsia"/>
          <w:sz w:val="28"/>
          <w:szCs w:val="28"/>
        </w:rPr>
        <w:t>被上訴人</w:t>
      </w:r>
      <w:r>
        <w:rPr>
          <w:rFonts w:ascii="標楷體" w:eastAsia="標楷體" w:hAnsi="標楷體" w:hint="eastAsia"/>
          <w:sz w:val="28"/>
          <w:szCs w:val="28"/>
        </w:rPr>
        <w:t>乃依</w:t>
      </w:r>
      <w:r w:rsidRPr="00FE6383">
        <w:rPr>
          <w:rFonts w:ascii="標楷體" w:eastAsia="標楷體" w:hAnsi="標楷體" w:hint="eastAsia"/>
          <w:sz w:val="28"/>
          <w:szCs w:val="28"/>
        </w:rPr>
        <w:t>內政部提供146個人民團體之資料，除未有預決算之73個團體外，被上訴人並未就有收支資料之</w:t>
      </w:r>
      <w:r>
        <w:rPr>
          <w:rFonts w:ascii="標楷體" w:eastAsia="標楷體" w:hAnsi="標楷體" w:hint="eastAsia"/>
          <w:sz w:val="28"/>
          <w:szCs w:val="28"/>
        </w:rPr>
        <w:t>其他</w:t>
      </w:r>
      <w:r w:rsidRPr="00FE6383">
        <w:rPr>
          <w:rFonts w:ascii="標楷體" w:eastAsia="標楷體" w:hAnsi="標楷體" w:hint="eastAsia"/>
          <w:sz w:val="28"/>
          <w:szCs w:val="28"/>
        </w:rPr>
        <w:t>73個團體綜合計算淨利率，逕以規模不相當為由，而選取「3人民團體（編號甲、乙、丙）預決算、結算申報核定通知書資料」作為推計支出率之依據，實嫌速斷。況，被上訴人所提出之3人民團體之預決算資料，其人民團體名稱，均未提示，致上訴人主張無從予以檢視，更無法確認被上訴人所採認之3個人民團體，其人數、規模，是否如被上訴人所稱「與太極門性質相符、規模相當」，尚難作為認定事實之基礎及本件裁判之依據，原判決就上訴人上開指摘均未見說明何以不足採信，亦有判決不備理由之違法。</w:t>
      </w:r>
    </w:p>
    <w:p w:rsidR="00BD4B6F" w:rsidRDefault="00BD4B6F" w:rsidP="00BD4B6F">
      <w:pPr>
        <w:spacing w:line="360" w:lineRule="auto"/>
        <w:ind w:leftChars="-76" w:left="2618" w:hangingChars="1000" w:hanging="2800"/>
        <w:rPr>
          <w:rFonts w:ascii="標楷體" w:eastAsia="標楷體" w:hAnsi="標楷體"/>
          <w:sz w:val="28"/>
          <w:szCs w:val="28"/>
        </w:rPr>
      </w:pPr>
      <w:r>
        <w:rPr>
          <w:rFonts w:ascii="標楷體" w:eastAsia="標楷體" w:hAnsi="標楷體" w:hint="eastAsia"/>
          <w:sz w:val="28"/>
          <w:szCs w:val="28"/>
        </w:rPr>
        <w:t>四、</w:t>
      </w:r>
      <w:r w:rsidR="006E7CBA" w:rsidRPr="006E7CBA">
        <w:rPr>
          <w:rFonts w:ascii="標楷體" w:eastAsia="標楷體" w:hAnsi="標楷體" w:hint="eastAsia"/>
          <w:sz w:val="28"/>
          <w:szCs w:val="28"/>
        </w:rPr>
        <w:t>綜上，因而判決</w:t>
      </w:r>
      <w:r w:rsidR="006E7CBA" w:rsidRPr="006E7CBA">
        <w:rPr>
          <w:rFonts w:ascii="標楷體" w:eastAsia="標楷體" w:hAnsi="標楷體"/>
          <w:sz w:val="28"/>
          <w:szCs w:val="28"/>
        </w:rPr>
        <w:t>:</w:t>
      </w:r>
      <w:r w:rsidR="006E7CBA" w:rsidRPr="006E7CBA">
        <w:rPr>
          <w:rFonts w:ascii="標楷體" w:eastAsia="標楷體" w:hAnsi="標楷體" w:hint="eastAsia"/>
          <w:sz w:val="28"/>
          <w:szCs w:val="28"/>
        </w:rPr>
        <w:t>原判決廢棄，發回臺</w:t>
      </w:r>
      <w:r w:rsidR="007340D1">
        <w:rPr>
          <w:rFonts w:ascii="標楷體" w:eastAsia="標楷體" w:hAnsi="標楷體" w:hint="eastAsia"/>
          <w:sz w:val="28"/>
          <w:szCs w:val="28"/>
        </w:rPr>
        <w:t>中</w:t>
      </w:r>
      <w:r w:rsidR="006E7CBA" w:rsidRPr="006E7CBA">
        <w:rPr>
          <w:rFonts w:ascii="標楷體" w:eastAsia="標楷體" w:hAnsi="標楷體" w:hint="eastAsia"/>
          <w:sz w:val="28"/>
          <w:szCs w:val="28"/>
        </w:rPr>
        <w:t>高等行政法院。</w:t>
      </w:r>
      <w:r w:rsidR="006E7CBA" w:rsidRPr="006E7CBA">
        <w:rPr>
          <w:rFonts w:ascii="標楷體" w:eastAsia="標楷體" w:hAnsi="標楷體"/>
          <w:sz w:val="28"/>
          <w:szCs w:val="28"/>
        </w:rPr>
        <w:t xml:space="preserve">      </w:t>
      </w:r>
    </w:p>
    <w:p w:rsidR="00BD4B6F" w:rsidRPr="00BD4B6F" w:rsidRDefault="00BD4B6F" w:rsidP="00856117">
      <w:pPr>
        <w:spacing w:line="360" w:lineRule="auto"/>
        <w:ind w:leftChars="-76" w:left="2618" w:hangingChars="1000" w:hanging="2800"/>
        <w:jc w:val="center"/>
        <w:rPr>
          <w:rFonts w:ascii="標楷體" w:eastAsia="標楷體" w:hAnsi="標楷體"/>
          <w:sz w:val="28"/>
          <w:szCs w:val="28"/>
        </w:rPr>
      </w:pPr>
      <w:r w:rsidRPr="00645661">
        <w:rPr>
          <w:rFonts w:ascii="標楷體" w:eastAsia="標楷體" w:hAnsi="標楷體" w:hint="eastAsia"/>
          <w:sz w:val="28"/>
          <w:szCs w:val="28"/>
        </w:rPr>
        <w:lastRenderedPageBreak/>
        <w:t>中</w:t>
      </w:r>
      <w:r>
        <w:rPr>
          <w:rFonts w:ascii="標楷體" w:eastAsia="標楷體" w:hAnsi="標楷體" w:hint="eastAsia"/>
          <w:sz w:val="28"/>
          <w:szCs w:val="28"/>
        </w:rPr>
        <w:t xml:space="preserve">   </w:t>
      </w:r>
      <w:r w:rsidRPr="00645661">
        <w:rPr>
          <w:rFonts w:ascii="標楷體" w:eastAsia="標楷體" w:hAnsi="標楷體" w:hint="eastAsia"/>
          <w:sz w:val="28"/>
          <w:szCs w:val="28"/>
        </w:rPr>
        <w:t>華</w:t>
      </w:r>
      <w:r>
        <w:rPr>
          <w:rFonts w:ascii="標楷體" w:eastAsia="標楷體" w:hAnsi="標楷體" w:hint="eastAsia"/>
          <w:sz w:val="28"/>
          <w:szCs w:val="28"/>
        </w:rPr>
        <w:t xml:space="preserve">   </w:t>
      </w:r>
      <w:r w:rsidRPr="00645661">
        <w:rPr>
          <w:rFonts w:ascii="標楷體" w:eastAsia="標楷體" w:hAnsi="標楷體" w:hint="eastAsia"/>
          <w:sz w:val="28"/>
          <w:szCs w:val="28"/>
        </w:rPr>
        <w:t>民</w:t>
      </w:r>
      <w:r>
        <w:rPr>
          <w:rFonts w:ascii="標楷體" w:eastAsia="標楷體" w:hAnsi="標楷體" w:hint="eastAsia"/>
          <w:sz w:val="28"/>
          <w:szCs w:val="28"/>
        </w:rPr>
        <w:t xml:space="preserve">   </w:t>
      </w:r>
      <w:r w:rsidRPr="00645661">
        <w:rPr>
          <w:rFonts w:ascii="標楷體" w:eastAsia="標楷體" w:hAnsi="標楷體" w:hint="eastAsia"/>
          <w:sz w:val="28"/>
          <w:szCs w:val="28"/>
        </w:rPr>
        <w:t>國</w:t>
      </w:r>
      <w:r>
        <w:rPr>
          <w:rFonts w:ascii="標楷體" w:eastAsia="標楷體" w:hAnsi="標楷體" w:hint="eastAsia"/>
          <w:sz w:val="28"/>
          <w:szCs w:val="28"/>
        </w:rPr>
        <w:t xml:space="preserve">   </w:t>
      </w:r>
      <w:r w:rsidRPr="00645661">
        <w:rPr>
          <w:rFonts w:ascii="標楷體" w:eastAsia="標楷體" w:hAnsi="標楷體" w:hint="eastAsia"/>
          <w:sz w:val="28"/>
          <w:szCs w:val="28"/>
        </w:rPr>
        <w:t xml:space="preserve"> 1</w:t>
      </w:r>
      <w:r w:rsidRPr="00645661">
        <w:rPr>
          <w:rFonts w:ascii="標楷體" w:eastAsia="標楷體" w:hAnsi="標楷體"/>
          <w:sz w:val="28"/>
          <w:szCs w:val="28"/>
        </w:rPr>
        <w:t>07</w:t>
      </w:r>
      <w:r>
        <w:rPr>
          <w:rFonts w:ascii="標楷體" w:eastAsia="標楷體" w:hAnsi="標楷體" w:hint="eastAsia"/>
          <w:sz w:val="28"/>
          <w:szCs w:val="28"/>
        </w:rPr>
        <w:t xml:space="preserve">   </w:t>
      </w:r>
      <w:r w:rsidRPr="00645661">
        <w:rPr>
          <w:rFonts w:ascii="標楷體" w:eastAsia="標楷體" w:hAnsi="標楷體" w:hint="eastAsia"/>
          <w:sz w:val="28"/>
          <w:szCs w:val="28"/>
        </w:rPr>
        <w:t>年</w:t>
      </w:r>
      <w:r>
        <w:rPr>
          <w:rFonts w:ascii="標楷體" w:eastAsia="標楷體" w:hAnsi="標楷體" w:hint="eastAsia"/>
          <w:sz w:val="28"/>
          <w:szCs w:val="28"/>
        </w:rPr>
        <w:t xml:space="preserve">   </w:t>
      </w:r>
      <w:r w:rsidRPr="00645661">
        <w:rPr>
          <w:rFonts w:ascii="標楷體" w:eastAsia="標楷體" w:hAnsi="標楷體" w:hint="eastAsia"/>
          <w:sz w:val="28"/>
          <w:szCs w:val="28"/>
        </w:rPr>
        <w:t xml:space="preserve"> </w:t>
      </w:r>
      <w:r w:rsidR="005F317B">
        <w:rPr>
          <w:rFonts w:ascii="標楷體" w:eastAsia="標楷體" w:hAnsi="標楷體"/>
          <w:sz w:val="28"/>
          <w:szCs w:val="28"/>
        </w:rPr>
        <w:t>7</w:t>
      </w:r>
      <w:r>
        <w:rPr>
          <w:rFonts w:ascii="標楷體" w:eastAsia="標楷體" w:hAnsi="標楷體" w:hint="eastAsia"/>
          <w:sz w:val="28"/>
          <w:szCs w:val="28"/>
        </w:rPr>
        <w:t xml:space="preserve">  </w:t>
      </w:r>
      <w:r w:rsidRPr="00645661">
        <w:rPr>
          <w:rFonts w:ascii="標楷體" w:eastAsia="標楷體" w:hAnsi="標楷體" w:hint="eastAsia"/>
          <w:sz w:val="28"/>
          <w:szCs w:val="28"/>
        </w:rPr>
        <w:t>月</w:t>
      </w:r>
      <w:r>
        <w:rPr>
          <w:rFonts w:ascii="標楷體" w:eastAsia="標楷體" w:hAnsi="標楷體" w:hint="eastAsia"/>
          <w:sz w:val="28"/>
          <w:szCs w:val="28"/>
        </w:rPr>
        <w:t xml:space="preserve">   </w:t>
      </w:r>
      <w:r w:rsidRPr="00645661">
        <w:rPr>
          <w:rFonts w:ascii="標楷體" w:eastAsia="標楷體" w:hAnsi="標楷體" w:hint="eastAsia"/>
          <w:sz w:val="28"/>
          <w:szCs w:val="28"/>
        </w:rPr>
        <w:t xml:space="preserve"> </w:t>
      </w:r>
      <w:r w:rsidR="005F317B">
        <w:rPr>
          <w:rFonts w:ascii="標楷體" w:eastAsia="標楷體" w:hAnsi="標楷體"/>
          <w:sz w:val="28"/>
          <w:szCs w:val="28"/>
        </w:rPr>
        <w:t>26</w:t>
      </w:r>
      <w:r>
        <w:rPr>
          <w:rFonts w:ascii="標楷體" w:eastAsia="標楷體" w:hAnsi="標楷體" w:hint="eastAsia"/>
          <w:sz w:val="28"/>
          <w:szCs w:val="28"/>
        </w:rPr>
        <w:t xml:space="preserve"> </w:t>
      </w:r>
      <w:r w:rsidRPr="00645661">
        <w:rPr>
          <w:rFonts w:ascii="標楷體" w:eastAsia="標楷體" w:hAnsi="標楷體" w:hint="eastAsia"/>
          <w:sz w:val="28"/>
          <w:szCs w:val="28"/>
        </w:rPr>
        <w:t>日</w:t>
      </w:r>
    </w:p>
    <w:p w:rsidR="006E7CBA" w:rsidRPr="006E7CBA" w:rsidRDefault="006E7CBA" w:rsidP="00C75C0C">
      <w:pPr>
        <w:spacing w:line="360" w:lineRule="auto"/>
        <w:ind w:leftChars="-76" w:left="2618" w:hangingChars="1000" w:hanging="2800"/>
        <w:rPr>
          <w:rFonts w:ascii="標楷體" w:eastAsia="標楷體" w:hAnsi="標楷體"/>
          <w:sz w:val="28"/>
          <w:szCs w:val="28"/>
        </w:rPr>
      </w:pPr>
      <w:r w:rsidRPr="006E7CBA">
        <w:rPr>
          <w:rFonts w:ascii="標楷體" w:eastAsia="標楷體" w:hAnsi="標楷體"/>
          <w:sz w:val="28"/>
          <w:szCs w:val="28"/>
        </w:rPr>
        <w:t xml:space="preserve">                       </w:t>
      </w:r>
      <w:r w:rsidRPr="006E7CBA">
        <w:rPr>
          <w:rFonts w:ascii="標楷體" w:eastAsia="標楷體" w:hAnsi="標楷體" w:hint="eastAsia"/>
          <w:sz w:val="28"/>
          <w:szCs w:val="28"/>
        </w:rPr>
        <w:t>最高行政法院第四庭</w:t>
      </w:r>
    </w:p>
    <w:p w:rsidR="006E7CBA" w:rsidRPr="006E7CBA" w:rsidRDefault="006E7CBA" w:rsidP="00F85EBD">
      <w:pPr>
        <w:spacing w:line="360" w:lineRule="auto"/>
        <w:ind w:leftChars="-76" w:left="-182" w:firstLineChars="200" w:firstLine="560"/>
        <w:rPr>
          <w:rFonts w:ascii="標楷體" w:eastAsia="標楷體" w:hAnsi="標楷體"/>
          <w:sz w:val="28"/>
          <w:szCs w:val="28"/>
        </w:rPr>
      </w:pPr>
      <w:r w:rsidRPr="006E7CBA">
        <w:rPr>
          <w:rFonts w:ascii="標楷體" w:eastAsia="標楷體" w:hAnsi="標楷體"/>
          <w:sz w:val="28"/>
          <w:szCs w:val="28"/>
        </w:rPr>
        <w:t xml:space="preserve">                        </w:t>
      </w:r>
      <w:r w:rsidRPr="006E7CBA">
        <w:rPr>
          <w:rFonts w:ascii="標楷體" w:eastAsia="標楷體" w:hAnsi="標楷體" w:hint="eastAsia"/>
          <w:sz w:val="28"/>
          <w:szCs w:val="28"/>
        </w:rPr>
        <w:t xml:space="preserve">審判長法官　</w:t>
      </w:r>
      <w:r w:rsidR="007340D1">
        <w:rPr>
          <w:rFonts w:ascii="標楷體" w:eastAsia="標楷體" w:hAnsi="標楷體" w:hint="eastAsia"/>
          <w:sz w:val="28"/>
          <w:szCs w:val="28"/>
        </w:rPr>
        <w:t>鄭  小  康</w:t>
      </w:r>
      <w:r w:rsidRPr="006E7CBA">
        <w:rPr>
          <w:rFonts w:ascii="標楷體" w:eastAsia="標楷體" w:hAnsi="標楷體" w:hint="eastAsia"/>
          <w:sz w:val="28"/>
          <w:szCs w:val="28"/>
        </w:rPr>
        <w:t xml:space="preserve">　</w:t>
      </w:r>
      <w:r w:rsidRPr="006E7CBA">
        <w:rPr>
          <w:rFonts w:ascii="標楷體" w:eastAsia="標楷體" w:hAnsi="標楷體"/>
          <w:sz w:val="28"/>
          <w:szCs w:val="28"/>
        </w:rPr>
        <w:t xml:space="preserve">                              </w:t>
      </w:r>
      <w:r w:rsidRPr="006E7CBA">
        <w:rPr>
          <w:rFonts w:ascii="標楷體" w:eastAsia="標楷體" w:hAnsi="標楷體" w:hint="eastAsia"/>
          <w:sz w:val="28"/>
          <w:szCs w:val="28"/>
        </w:rPr>
        <w:t xml:space="preserve">　</w:t>
      </w:r>
    </w:p>
    <w:p w:rsidR="006E7CBA" w:rsidRPr="006E7CBA" w:rsidRDefault="006E7CBA" w:rsidP="00F85EBD">
      <w:pPr>
        <w:spacing w:line="360" w:lineRule="auto"/>
        <w:ind w:leftChars="-76" w:left="-182" w:firstLineChars="200" w:firstLine="560"/>
        <w:rPr>
          <w:rFonts w:ascii="標楷體" w:eastAsia="標楷體" w:hAnsi="標楷體"/>
          <w:sz w:val="28"/>
          <w:szCs w:val="28"/>
        </w:rPr>
      </w:pPr>
      <w:r w:rsidRPr="006E7CBA">
        <w:rPr>
          <w:rFonts w:ascii="標楷體" w:eastAsia="標楷體" w:hAnsi="標楷體"/>
          <w:sz w:val="28"/>
          <w:szCs w:val="28"/>
        </w:rPr>
        <w:t xml:space="preserve">                              </w:t>
      </w:r>
      <w:r w:rsidRPr="006E7CBA">
        <w:rPr>
          <w:rFonts w:ascii="標楷體" w:eastAsia="標楷體" w:hAnsi="標楷體" w:hint="eastAsia"/>
          <w:sz w:val="28"/>
          <w:szCs w:val="28"/>
        </w:rPr>
        <w:t xml:space="preserve">法官　林　文　舟　</w:t>
      </w:r>
    </w:p>
    <w:p w:rsidR="006E7CBA" w:rsidRPr="006E7CBA" w:rsidRDefault="006E7CBA" w:rsidP="00F85EBD">
      <w:pPr>
        <w:spacing w:line="360" w:lineRule="auto"/>
        <w:ind w:leftChars="-76" w:left="-182" w:firstLineChars="200" w:firstLine="560"/>
        <w:rPr>
          <w:rFonts w:ascii="標楷體" w:eastAsia="標楷體" w:hAnsi="標楷體"/>
          <w:sz w:val="28"/>
          <w:szCs w:val="28"/>
        </w:rPr>
      </w:pPr>
      <w:r w:rsidRPr="006E7CBA">
        <w:rPr>
          <w:rFonts w:ascii="標楷體" w:eastAsia="標楷體" w:hAnsi="標楷體"/>
          <w:sz w:val="28"/>
          <w:szCs w:val="28"/>
        </w:rPr>
        <w:t xml:space="preserve">                              </w:t>
      </w:r>
      <w:r w:rsidRPr="006E7CBA">
        <w:rPr>
          <w:rFonts w:ascii="標楷體" w:eastAsia="標楷體" w:hAnsi="標楷體" w:hint="eastAsia"/>
          <w:sz w:val="28"/>
          <w:szCs w:val="28"/>
        </w:rPr>
        <w:t xml:space="preserve">法官　帥　嘉　寶　</w:t>
      </w:r>
    </w:p>
    <w:p w:rsidR="006E7CBA" w:rsidRDefault="006E7CBA" w:rsidP="00F85EBD">
      <w:pPr>
        <w:spacing w:line="360" w:lineRule="auto"/>
        <w:ind w:leftChars="-76" w:left="-182" w:firstLineChars="200" w:firstLine="560"/>
        <w:rPr>
          <w:rFonts w:ascii="標楷體" w:eastAsia="標楷體" w:hAnsi="標楷體"/>
          <w:sz w:val="28"/>
          <w:szCs w:val="28"/>
        </w:rPr>
      </w:pPr>
      <w:r w:rsidRPr="006E7CBA">
        <w:rPr>
          <w:rFonts w:ascii="標楷體" w:eastAsia="標楷體" w:hAnsi="標楷體"/>
          <w:sz w:val="28"/>
          <w:szCs w:val="28"/>
        </w:rPr>
        <w:t xml:space="preserve">                              </w:t>
      </w:r>
      <w:r w:rsidRPr="006E7CBA">
        <w:rPr>
          <w:rFonts w:ascii="標楷體" w:eastAsia="標楷體" w:hAnsi="標楷體" w:hint="eastAsia"/>
          <w:sz w:val="28"/>
          <w:szCs w:val="28"/>
        </w:rPr>
        <w:t xml:space="preserve">法官　林　樹　埔　</w:t>
      </w:r>
    </w:p>
    <w:p w:rsidR="007340D1" w:rsidRDefault="007340D1" w:rsidP="00F85EBD">
      <w:pPr>
        <w:spacing w:line="360" w:lineRule="auto"/>
        <w:ind w:leftChars="-76" w:left="-182" w:firstLineChars="200" w:firstLine="560"/>
        <w:rPr>
          <w:rFonts w:ascii="標楷體" w:eastAsia="標楷體" w:hAnsi="標楷體"/>
          <w:sz w:val="28"/>
          <w:szCs w:val="28"/>
        </w:rPr>
      </w:pPr>
      <w:r>
        <w:rPr>
          <w:rFonts w:ascii="標楷體" w:eastAsia="標楷體" w:hAnsi="標楷體" w:hint="eastAsia"/>
          <w:sz w:val="28"/>
          <w:szCs w:val="28"/>
        </w:rPr>
        <w:t xml:space="preserve">                              </w:t>
      </w:r>
      <w:r w:rsidRPr="006E7CBA">
        <w:rPr>
          <w:rFonts w:ascii="標楷體" w:eastAsia="標楷體" w:hAnsi="標楷體" w:hint="eastAsia"/>
          <w:sz w:val="28"/>
          <w:szCs w:val="28"/>
        </w:rPr>
        <w:t>法官　劉　介　中</w:t>
      </w:r>
    </w:p>
    <w:sectPr w:rsidR="007340D1" w:rsidSect="0013098A">
      <w:footerReference w:type="even" r:id="rId8"/>
      <w:footerReference w:type="default" r:id="rId9"/>
      <w:pgSz w:w="11906" w:h="16838"/>
      <w:pgMar w:top="1134"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812" w:rsidRDefault="00E34812">
      <w:r>
        <w:separator/>
      </w:r>
    </w:p>
  </w:endnote>
  <w:endnote w:type="continuationSeparator" w:id="0">
    <w:p w:rsidR="00E34812" w:rsidRDefault="00E3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隸書體W7">
    <w:altName w:val="標楷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B" w:rsidRDefault="004203ED" w:rsidP="000C7EFB">
    <w:pPr>
      <w:pStyle w:val="a3"/>
      <w:framePr w:wrap="around" w:vAnchor="text" w:hAnchor="margin" w:xAlign="center" w:y="1"/>
      <w:rPr>
        <w:rStyle w:val="a5"/>
      </w:rPr>
    </w:pPr>
    <w:r>
      <w:rPr>
        <w:rStyle w:val="a5"/>
      </w:rPr>
      <w:fldChar w:fldCharType="begin"/>
    </w:r>
    <w:r w:rsidR="000C7EFB">
      <w:rPr>
        <w:rStyle w:val="a5"/>
      </w:rPr>
      <w:instrText xml:space="preserve">PAGE  </w:instrText>
    </w:r>
    <w:r>
      <w:rPr>
        <w:rStyle w:val="a5"/>
      </w:rPr>
      <w:fldChar w:fldCharType="end"/>
    </w:r>
  </w:p>
  <w:p w:rsidR="000C7EFB" w:rsidRDefault="000C7EF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B" w:rsidRDefault="004203ED" w:rsidP="000C7EFB">
    <w:pPr>
      <w:pStyle w:val="a3"/>
      <w:framePr w:wrap="around" w:vAnchor="text" w:hAnchor="margin" w:xAlign="center" w:y="1"/>
      <w:rPr>
        <w:rStyle w:val="a5"/>
      </w:rPr>
    </w:pPr>
    <w:r>
      <w:rPr>
        <w:rStyle w:val="a5"/>
      </w:rPr>
      <w:fldChar w:fldCharType="begin"/>
    </w:r>
    <w:r w:rsidR="000C7EFB">
      <w:rPr>
        <w:rStyle w:val="a5"/>
      </w:rPr>
      <w:instrText xml:space="preserve">PAGE  </w:instrText>
    </w:r>
    <w:r>
      <w:rPr>
        <w:rStyle w:val="a5"/>
      </w:rPr>
      <w:fldChar w:fldCharType="separate"/>
    </w:r>
    <w:r w:rsidR="008E2B6D">
      <w:rPr>
        <w:rStyle w:val="a5"/>
        <w:noProof/>
      </w:rPr>
      <w:t>1</w:t>
    </w:r>
    <w:r>
      <w:rPr>
        <w:rStyle w:val="a5"/>
      </w:rPr>
      <w:fldChar w:fldCharType="end"/>
    </w:r>
  </w:p>
  <w:p w:rsidR="000C7EFB" w:rsidRDefault="000C7EF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812" w:rsidRDefault="00E34812">
      <w:r>
        <w:separator/>
      </w:r>
    </w:p>
  </w:footnote>
  <w:footnote w:type="continuationSeparator" w:id="0">
    <w:p w:rsidR="00E34812" w:rsidRDefault="00E34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A15"/>
    <w:rsid w:val="0000382E"/>
    <w:rsid w:val="0009537A"/>
    <w:rsid w:val="000C7EFB"/>
    <w:rsid w:val="0010117A"/>
    <w:rsid w:val="0013098A"/>
    <w:rsid w:val="002515CC"/>
    <w:rsid w:val="002A52FB"/>
    <w:rsid w:val="00363D01"/>
    <w:rsid w:val="004203ED"/>
    <w:rsid w:val="00492EF9"/>
    <w:rsid w:val="004F314A"/>
    <w:rsid w:val="00561760"/>
    <w:rsid w:val="00562221"/>
    <w:rsid w:val="0059603D"/>
    <w:rsid w:val="005A7A15"/>
    <w:rsid w:val="005F317B"/>
    <w:rsid w:val="00613145"/>
    <w:rsid w:val="006713DA"/>
    <w:rsid w:val="006A02D0"/>
    <w:rsid w:val="006C3EE9"/>
    <w:rsid w:val="006D055F"/>
    <w:rsid w:val="006E7CBA"/>
    <w:rsid w:val="006F1998"/>
    <w:rsid w:val="007340D1"/>
    <w:rsid w:val="007460E2"/>
    <w:rsid w:val="007B68B2"/>
    <w:rsid w:val="00856117"/>
    <w:rsid w:val="008A5BD7"/>
    <w:rsid w:val="008C0E19"/>
    <w:rsid w:val="008E2B6D"/>
    <w:rsid w:val="00924850"/>
    <w:rsid w:val="0098077F"/>
    <w:rsid w:val="00A04A5F"/>
    <w:rsid w:val="00A46D85"/>
    <w:rsid w:val="00A77A43"/>
    <w:rsid w:val="00AB7E64"/>
    <w:rsid w:val="00AC2A59"/>
    <w:rsid w:val="00B52346"/>
    <w:rsid w:val="00B5789E"/>
    <w:rsid w:val="00BD4B6F"/>
    <w:rsid w:val="00C75C0C"/>
    <w:rsid w:val="00C771AA"/>
    <w:rsid w:val="00CC522F"/>
    <w:rsid w:val="00DD726A"/>
    <w:rsid w:val="00E0012F"/>
    <w:rsid w:val="00E33D40"/>
    <w:rsid w:val="00E34812"/>
    <w:rsid w:val="00F00C17"/>
    <w:rsid w:val="00F24259"/>
    <w:rsid w:val="00F60CA5"/>
    <w:rsid w:val="00F85EBD"/>
    <w:rsid w:val="00FE63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1C088"/>
  <w15:docId w15:val="{E63BE1D4-4D87-47BD-A941-5EF2FECA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A15"/>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7A15"/>
    <w:pPr>
      <w:tabs>
        <w:tab w:val="center" w:pos="4153"/>
        <w:tab w:val="right" w:pos="8306"/>
      </w:tabs>
      <w:snapToGrid w:val="0"/>
    </w:pPr>
    <w:rPr>
      <w:sz w:val="20"/>
      <w:szCs w:val="20"/>
    </w:rPr>
  </w:style>
  <w:style w:type="character" w:customStyle="1" w:styleId="a4">
    <w:name w:val="頁尾 字元"/>
    <w:link w:val="a3"/>
    <w:rsid w:val="005A7A15"/>
    <w:rPr>
      <w:rFonts w:ascii="Times New Roman" w:eastAsia="新細明體" w:hAnsi="Times New Roman" w:cs="Times New Roman"/>
      <w:sz w:val="20"/>
      <w:szCs w:val="20"/>
    </w:rPr>
  </w:style>
  <w:style w:type="character" w:styleId="a5">
    <w:name w:val="page number"/>
    <w:basedOn w:val="a0"/>
    <w:rsid w:val="005A7A15"/>
  </w:style>
  <w:style w:type="paragraph" w:styleId="a6">
    <w:name w:val="Balloon Text"/>
    <w:basedOn w:val="a"/>
    <w:link w:val="a7"/>
    <w:uiPriority w:val="99"/>
    <w:semiHidden/>
    <w:unhideWhenUsed/>
    <w:rsid w:val="005A7A15"/>
    <w:rPr>
      <w:rFonts w:ascii="Cambria" w:hAnsi="Cambria"/>
      <w:sz w:val="18"/>
      <w:szCs w:val="18"/>
    </w:rPr>
  </w:style>
  <w:style w:type="character" w:customStyle="1" w:styleId="a7">
    <w:name w:val="註解方塊文字 字元"/>
    <w:link w:val="a6"/>
    <w:uiPriority w:val="99"/>
    <w:semiHidden/>
    <w:rsid w:val="005A7A15"/>
    <w:rPr>
      <w:rFonts w:ascii="Cambria" w:eastAsia="新細明體" w:hAnsi="Cambria" w:cs="Times New Roman"/>
      <w:sz w:val="18"/>
      <w:szCs w:val="18"/>
    </w:rPr>
  </w:style>
  <w:style w:type="paragraph" w:styleId="a8">
    <w:name w:val="header"/>
    <w:basedOn w:val="a"/>
    <w:link w:val="a9"/>
    <w:uiPriority w:val="99"/>
    <w:unhideWhenUsed/>
    <w:rsid w:val="0013098A"/>
    <w:pPr>
      <w:tabs>
        <w:tab w:val="center" w:pos="4153"/>
        <w:tab w:val="right" w:pos="8306"/>
      </w:tabs>
      <w:snapToGrid w:val="0"/>
    </w:pPr>
    <w:rPr>
      <w:sz w:val="20"/>
      <w:szCs w:val="20"/>
    </w:rPr>
  </w:style>
  <w:style w:type="character" w:customStyle="1" w:styleId="a9">
    <w:name w:val="頁首 字元"/>
    <w:link w:val="a8"/>
    <w:uiPriority w:val="99"/>
    <w:rsid w:val="0013098A"/>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725B3-F9C5-483C-B05E-52E05DE2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4</Pages>
  <Words>282</Words>
  <Characters>1614</Characters>
  <Application>Microsoft Office Word</Application>
  <DocSecurity>0</DocSecurity>
  <Lines>13</Lines>
  <Paragraphs>3</Paragraphs>
  <ScaleCrop>false</ScaleCrop>
  <Company>tpa</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dc:creator>
  <cp:keywords/>
  <dc:description/>
  <cp:lastModifiedBy>楊佳紋</cp:lastModifiedBy>
  <cp:revision>18</cp:revision>
  <cp:lastPrinted>2018-07-26T08:21:00Z</cp:lastPrinted>
  <dcterms:created xsi:type="dcterms:W3CDTF">2018-07-26T00:04:00Z</dcterms:created>
  <dcterms:modified xsi:type="dcterms:W3CDTF">2018-07-26T08:50:00Z</dcterms:modified>
</cp:coreProperties>
</file>