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70E9" w:rsidRPr="00A00C5C" w:rsidRDefault="007070E9" w:rsidP="004423E7">
      <w:pPr>
        <w:overflowPunct w:val="0"/>
        <w:spacing w:line="520" w:lineRule="exact"/>
        <w:rPr>
          <w:rFonts w:ascii="Times New Roman" w:eastAsia="標楷體" w:hAnsi="Times New Roman" w:cs="Times New Roman"/>
          <w:b/>
          <w:color w:val="000000" w:themeColor="text1"/>
          <w:sz w:val="32"/>
          <w:szCs w:val="32"/>
        </w:rPr>
      </w:pPr>
      <w:bookmarkStart w:id="0" w:name="_GoBack"/>
      <w:bookmarkEnd w:id="0"/>
      <w:r w:rsidRPr="007279D3">
        <w:rPr>
          <w:rFonts w:ascii="Times New Roman" w:eastAsia="標楷體" w:hAnsi="Times New Roman" w:cs="Times New Roman" w:hint="eastAsia"/>
          <w:b/>
          <w:color w:val="000000" w:themeColor="text1"/>
          <w:sz w:val="36"/>
          <w:szCs w:val="36"/>
        </w:rPr>
        <w:t>司法院釋字第</w:t>
      </w:r>
      <w:r w:rsidRPr="007279D3">
        <w:rPr>
          <w:rFonts w:ascii="Times New Roman" w:eastAsia="標楷體" w:hAnsi="Times New Roman" w:cs="Times New Roman" w:hint="eastAsia"/>
          <w:b/>
          <w:color w:val="000000" w:themeColor="text1"/>
          <w:sz w:val="36"/>
          <w:szCs w:val="36"/>
        </w:rPr>
        <w:t>7</w:t>
      </w:r>
      <w:r w:rsidRPr="007279D3">
        <w:rPr>
          <w:rFonts w:ascii="Times New Roman" w:eastAsia="標楷體" w:hAnsi="Times New Roman" w:cs="Times New Roman"/>
          <w:b/>
          <w:color w:val="000000" w:themeColor="text1"/>
          <w:sz w:val="36"/>
          <w:szCs w:val="36"/>
        </w:rPr>
        <w:t>6</w:t>
      </w:r>
      <w:r w:rsidRPr="007279D3">
        <w:rPr>
          <w:rFonts w:ascii="Times New Roman" w:eastAsia="標楷體" w:hAnsi="Times New Roman" w:cs="Times New Roman" w:hint="eastAsia"/>
          <w:b/>
          <w:color w:val="000000" w:themeColor="text1"/>
          <w:sz w:val="36"/>
          <w:szCs w:val="36"/>
        </w:rPr>
        <w:t>2</w:t>
      </w:r>
      <w:r w:rsidRPr="007279D3">
        <w:rPr>
          <w:rFonts w:ascii="Times New Roman" w:eastAsia="標楷體" w:hAnsi="Times New Roman" w:cs="Times New Roman" w:hint="eastAsia"/>
          <w:b/>
          <w:color w:val="000000" w:themeColor="text1"/>
          <w:sz w:val="36"/>
          <w:szCs w:val="36"/>
        </w:rPr>
        <w:t>號解釋</w:t>
      </w:r>
      <w:r w:rsidRPr="00A00C5C">
        <w:rPr>
          <w:rFonts w:ascii="Times New Roman" w:eastAsia="標楷體" w:hAnsi="Times New Roman" w:cs="Times New Roman" w:hint="eastAsia"/>
          <w:b/>
          <w:color w:val="000000" w:themeColor="text1"/>
          <w:sz w:val="32"/>
          <w:szCs w:val="32"/>
        </w:rPr>
        <w:t xml:space="preserve">          </w:t>
      </w:r>
      <w:r w:rsidRPr="00A00C5C">
        <w:rPr>
          <w:rFonts w:ascii="Times New Roman" w:eastAsia="標楷體" w:hAnsi="Times New Roman" w:cs="Times New Roman"/>
          <w:b/>
          <w:color w:val="000000" w:themeColor="text1"/>
          <w:sz w:val="32"/>
          <w:szCs w:val="32"/>
        </w:rPr>
        <w:t xml:space="preserve">      </w:t>
      </w:r>
      <w:r w:rsidR="007F4FCD">
        <w:rPr>
          <w:rFonts w:ascii="Times New Roman" w:eastAsia="標楷體" w:hAnsi="Times New Roman" w:cs="Times New Roman"/>
          <w:b/>
          <w:color w:val="000000" w:themeColor="text1"/>
          <w:sz w:val="32"/>
          <w:szCs w:val="32"/>
        </w:rPr>
        <w:t xml:space="preserve">           </w:t>
      </w:r>
      <w:r w:rsidRPr="00A00C5C">
        <w:rPr>
          <w:rFonts w:ascii="Times New Roman" w:eastAsia="標楷體" w:hAnsi="Times New Roman" w:cs="Times New Roman" w:hint="eastAsia"/>
          <w:b/>
          <w:color w:val="000000" w:themeColor="text1"/>
          <w:sz w:val="32"/>
          <w:szCs w:val="32"/>
        </w:rPr>
        <w:t xml:space="preserve"> 10</w:t>
      </w:r>
      <w:r w:rsidRPr="00A00C5C">
        <w:rPr>
          <w:rFonts w:ascii="Times New Roman" w:eastAsia="標楷體" w:hAnsi="Times New Roman" w:cs="Times New Roman"/>
          <w:b/>
          <w:color w:val="000000" w:themeColor="text1"/>
          <w:sz w:val="32"/>
          <w:szCs w:val="32"/>
        </w:rPr>
        <w:t>7</w:t>
      </w:r>
      <w:r w:rsidRPr="00A00C5C">
        <w:rPr>
          <w:rFonts w:ascii="Times New Roman" w:eastAsia="標楷體" w:hAnsi="Times New Roman" w:cs="Times New Roman" w:hint="eastAsia"/>
          <w:b/>
          <w:color w:val="000000" w:themeColor="text1"/>
          <w:sz w:val="32"/>
          <w:szCs w:val="32"/>
        </w:rPr>
        <w:t>年</w:t>
      </w:r>
      <w:r w:rsidRPr="00A00C5C">
        <w:rPr>
          <w:rFonts w:ascii="Times New Roman" w:eastAsia="標楷體" w:hAnsi="Times New Roman" w:cs="Times New Roman"/>
          <w:b/>
          <w:color w:val="000000" w:themeColor="text1"/>
          <w:sz w:val="32"/>
          <w:szCs w:val="32"/>
        </w:rPr>
        <w:t>3</w:t>
      </w:r>
      <w:r w:rsidRPr="00A00C5C">
        <w:rPr>
          <w:rFonts w:ascii="Times New Roman" w:eastAsia="標楷體" w:hAnsi="Times New Roman" w:cs="Times New Roman" w:hint="eastAsia"/>
          <w:b/>
          <w:color w:val="000000" w:themeColor="text1"/>
          <w:sz w:val="32"/>
          <w:szCs w:val="32"/>
        </w:rPr>
        <w:t>月</w:t>
      </w:r>
      <w:r w:rsidRPr="00A00C5C">
        <w:rPr>
          <w:rFonts w:ascii="Times New Roman" w:eastAsia="標楷體" w:hAnsi="Times New Roman" w:cs="Times New Roman" w:hint="eastAsia"/>
          <w:b/>
          <w:color w:val="000000" w:themeColor="text1"/>
          <w:sz w:val="32"/>
          <w:szCs w:val="32"/>
        </w:rPr>
        <w:t>9</w:t>
      </w:r>
      <w:r w:rsidR="007F4FCD">
        <w:rPr>
          <w:rFonts w:ascii="Times New Roman" w:eastAsia="標楷體" w:hAnsi="Times New Roman" w:cs="Times New Roman" w:hint="eastAsia"/>
          <w:b/>
          <w:color w:val="000000" w:themeColor="text1"/>
          <w:sz w:val="32"/>
          <w:szCs w:val="32"/>
        </w:rPr>
        <w:t>日</w:t>
      </w:r>
    </w:p>
    <w:p w:rsidR="00892C53" w:rsidRPr="0035607B" w:rsidRDefault="00892C53" w:rsidP="00892C53">
      <w:pPr>
        <w:tabs>
          <w:tab w:val="left" w:pos="6216"/>
        </w:tabs>
        <w:overflowPunct w:val="0"/>
        <w:spacing w:beforeLines="50" w:before="180" w:afterLines="50" w:after="180" w:line="520" w:lineRule="exact"/>
        <w:jc w:val="both"/>
        <w:rPr>
          <w:rFonts w:ascii="Times New Roman" w:eastAsia="標楷體" w:hAnsi="Times New Roman" w:cs="Times New Roman"/>
          <w:b/>
          <w:color w:val="000000" w:themeColor="text1"/>
          <w:sz w:val="36"/>
          <w:szCs w:val="36"/>
        </w:rPr>
      </w:pPr>
      <w:r w:rsidRPr="0035607B">
        <w:rPr>
          <w:rFonts w:ascii="Times New Roman" w:eastAsia="標楷體" w:hAnsi="Times New Roman" w:cs="Times New Roman"/>
          <w:b/>
          <w:color w:val="000000" w:themeColor="text1"/>
          <w:sz w:val="36"/>
          <w:szCs w:val="36"/>
        </w:rPr>
        <w:t>【</w:t>
      </w:r>
      <w:r w:rsidR="00530449" w:rsidRPr="0035607B">
        <w:rPr>
          <w:rFonts w:ascii="Times New Roman" w:eastAsia="標楷體" w:hAnsi="Times New Roman" w:cs="Times New Roman"/>
          <w:b/>
          <w:color w:val="000000" w:themeColor="text1"/>
          <w:sz w:val="36"/>
          <w:szCs w:val="36"/>
        </w:rPr>
        <w:t>審判中被告之卷證資訊獲知權案</w:t>
      </w:r>
      <w:r w:rsidRPr="0035607B">
        <w:rPr>
          <w:rFonts w:ascii="Times New Roman" w:eastAsia="標楷體" w:hAnsi="Times New Roman" w:cs="Times New Roman"/>
          <w:b/>
          <w:color w:val="000000" w:themeColor="text1"/>
          <w:sz w:val="36"/>
          <w:szCs w:val="36"/>
        </w:rPr>
        <w:t>】</w:t>
      </w:r>
    </w:p>
    <w:p w:rsidR="00892C53" w:rsidRPr="00A00C5C" w:rsidRDefault="00892C53" w:rsidP="00E70797">
      <w:pPr>
        <w:pStyle w:val="HTML"/>
        <w:overflowPunct w:val="0"/>
        <w:spacing w:beforeLines="100" w:before="360" w:afterLines="50" w:after="180" w:line="500" w:lineRule="exact"/>
        <w:jc w:val="both"/>
        <w:rPr>
          <w:rFonts w:ascii="Times New Roman" w:eastAsia="標楷體" w:hAnsi="Times New Roman" w:cs="Times New Roman"/>
          <w:b/>
          <w:color w:val="000000" w:themeColor="text1"/>
          <w:sz w:val="32"/>
          <w:szCs w:val="32"/>
        </w:rPr>
      </w:pPr>
      <w:r w:rsidRPr="00A00C5C">
        <w:rPr>
          <w:rFonts w:ascii="Times New Roman" w:eastAsia="標楷體" w:hAnsi="Times New Roman" w:cs="Times New Roman"/>
          <w:b/>
          <w:color w:val="000000" w:themeColor="text1"/>
          <w:sz w:val="32"/>
          <w:szCs w:val="32"/>
        </w:rPr>
        <w:t>解釋文</w:t>
      </w:r>
    </w:p>
    <w:p w:rsidR="00892C53" w:rsidRPr="00A00C5C" w:rsidRDefault="009E4F3D" w:rsidP="00892C53">
      <w:pPr>
        <w:tabs>
          <w:tab w:val="left" w:pos="6216"/>
        </w:tabs>
        <w:overflowPunct w:val="0"/>
        <w:spacing w:line="520" w:lineRule="exact"/>
        <w:ind w:firstLineChars="200" w:firstLine="640"/>
        <w:jc w:val="both"/>
        <w:rPr>
          <w:rFonts w:ascii="Times New Roman" w:eastAsia="標楷體" w:hAnsi="Times New Roman" w:cs="Times New Roman"/>
          <w:b/>
          <w:color w:val="000000" w:themeColor="text1"/>
          <w:sz w:val="32"/>
          <w:szCs w:val="32"/>
        </w:rPr>
      </w:pPr>
      <w:r w:rsidRPr="00A00C5C">
        <w:rPr>
          <w:rFonts w:ascii="Times New Roman" w:eastAsia="標楷體" w:hAnsi="Times New Roman" w:cs="Times New Roman" w:hint="eastAsia"/>
          <w:color w:val="000000" w:themeColor="text1"/>
          <w:sz w:val="32"/>
          <w:szCs w:val="32"/>
        </w:rPr>
        <w:t>刑事訴訟法第</w:t>
      </w:r>
      <w:r w:rsidRPr="00A00C5C">
        <w:rPr>
          <w:rFonts w:ascii="Times New Roman" w:eastAsia="標楷體" w:hAnsi="Times New Roman" w:cs="Times New Roman" w:hint="eastAsia"/>
          <w:color w:val="000000" w:themeColor="text1"/>
          <w:sz w:val="32"/>
          <w:szCs w:val="32"/>
        </w:rPr>
        <w:t>33</w:t>
      </w:r>
      <w:r w:rsidRPr="00A00C5C">
        <w:rPr>
          <w:rFonts w:ascii="Times New Roman" w:eastAsia="標楷體" w:hAnsi="Times New Roman" w:cs="Times New Roman" w:hint="eastAsia"/>
          <w:color w:val="000000" w:themeColor="text1"/>
          <w:sz w:val="32"/>
          <w:szCs w:val="32"/>
        </w:rPr>
        <w:t>條第</w:t>
      </w:r>
      <w:r w:rsidRPr="00A00C5C">
        <w:rPr>
          <w:rFonts w:ascii="Times New Roman" w:eastAsia="標楷體" w:hAnsi="Times New Roman" w:cs="Times New Roman" w:hint="eastAsia"/>
          <w:color w:val="000000" w:themeColor="text1"/>
          <w:sz w:val="32"/>
          <w:szCs w:val="32"/>
        </w:rPr>
        <w:t>2</w:t>
      </w:r>
      <w:r w:rsidRPr="00A00C5C">
        <w:rPr>
          <w:rFonts w:ascii="Times New Roman" w:eastAsia="標楷體" w:hAnsi="Times New Roman" w:cs="Times New Roman" w:hint="eastAsia"/>
          <w:color w:val="000000" w:themeColor="text1"/>
          <w:sz w:val="32"/>
          <w:szCs w:val="32"/>
        </w:rPr>
        <w:t>項前段規定：「無辯護人之被告於審判中得預納費用請求付與卷內筆錄之影本」，未賦予有辯護人之被告直接獲知卷證資訊之權利，且未賦予被告得請求付與卷內筆錄以外之卷宗及證物</w:t>
      </w:r>
      <w:r w:rsidR="004A6F79" w:rsidRPr="00A00C5C">
        <w:rPr>
          <w:rFonts w:ascii="Times New Roman" w:eastAsia="標楷體" w:hAnsi="Times New Roman" w:cs="Times New Roman" w:hint="eastAsia"/>
          <w:color w:val="000000" w:themeColor="text1"/>
          <w:sz w:val="32"/>
          <w:szCs w:val="32"/>
        </w:rPr>
        <w:t>影</w:t>
      </w:r>
      <w:r w:rsidRPr="00A00C5C">
        <w:rPr>
          <w:rFonts w:ascii="Times New Roman" w:eastAsia="標楷體" w:hAnsi="Times New Roman" w:cs="Times New Roman" w:hint="eastAsia"/>
          <w:color w:val="000000" w:themeColor="text1"/>
          <w:sz w:val="32"/>
          <w:szCs w:val="32"/>
        </w:rPr>
        <w:t>本之權利，妨</w:t>
      </w:r>
      <w:r w:rsidRPr="00A00C5C">
        <w:rPr>
          <w:rFonts w:ascii="Times New Roman" w:eastAsia="標楷體" w:hAnsi="Times New Roman" w:cs="Times New Roman"/>
          <w:color w:val="000000" w:themeColor="text1"/>
          <w:sz w:val="32"/>
          <w:szCs w:val="32"/>
        </w:rPr>
        <w:t>害被告</w:t>
      </w:r>
      <w:r w:rsidRPr="00A00C5C">
        <w:rPr>
          <w:rFonts w:ascii="Times New Roman" w:eastAsia="標楷體" w:hAnsi="Times New Roman" w:cs="Times New Roman" w:hint="eastAsia"/>
          <w:color w:val="000000" w:themeColor="text1"/>
          <w:sz w:val="32"/>
          <w:szCs w:val="32"/>
        </w:rPr>
        <w:t>防</w:t>
      </w:r>
      <w:r w:rsidRPr="00A00C5C">
        <w:rPr>
          <w:rFonts w:ascii="Times New Roman" w:eastAsia="標楷體" w:hAnsi="Times New Roman" w:cs="Times New Roman"/>
          <w:color w:val="000000" w:themeColor="text1"/>
          <w:sz w:val="32"/>
          <w:szCs w:val="32"/>
        </w:rPr>
        <w:t>禦權之有效行使</w:t>
      </w:r>
      <w:r w:rsidRPr="00A00C5C">
        <w:rPr>
          <w:rFonts w:ascii="Times New Roman" w:eastAsia="標楷體" w:hAnsi="Times New Roman" w:cs="Times New Roman" w:hint="eastAsia"/>
          <w:color w:val="000000" w:themeColor="text1"/>
          <w:sz w:val="32"/>
          <w:szCs w:val="32"/>
        </w:rPr>
        <w:t>，於此範圍內，與憲法第</w:t>
      </w:r>
      <w:r w:rsidRPr="00A00C5C">
        <w:rPr>
          <w:rFonts w:ascii="Times New Roman" w:eastAsia="標楷體" w:hAnsi="Times New Roman" w:cs="Times New Roman" w:hint="eastAsia"/>
          <w:color w:val="000000" w:themeColor="text1"/>
          <w:sz w:val="32"/>
          <w:szCs w:val="32"/>
        </w:rPr>
        <w:t>16</w:t>
      </w:r>
      <w:r w:rsidRPr="00A00C5C">
        <w:rPr>
          <w:rFonts w:ascii="Times New Roman" w:eastAsia="標楷體" w:hAnsi="Times New Roman" w:cs="Times New Roman" w:hint="eastAsia"/>
          <w:color w:val="000000" w:themeColor="text1"/>
          <w:sz w:val="32"/>
          <w:szCs w:val="32"/>
        </w:rPr>
        <w:t>條保障訴訟權之正當法律程序原則意旨不符。有關機關應於本解釋公布之日起</w:t>
      </w:r>
      <w:r w:rsidRPr="00A00C5C">
        <w:rPr>
          <w:rFonts w:ascii="Times New Roman" w:eastAsia="標楷體" w:hAnsi="Times New Roman" w:cs="Times New Roman" w:hint="eastAsia"/>
          <w:color w:val="000000" w:themeColor="text1"/>
          <w:sz w:val="32"/>
          <w:szCs w:val="32"/>
        </w:rPr>
        <w:t>1</w:t>
      </w:r>
      <w:r w:rsidRPr="00A00C5C">
        <w:rPr>
          <w:rFonts w:ascii="Times New Roman" w:eastAsia="標楷體" w:hAnsi="Times New Roman" w:cs="Times New Roman" w:hint="eastAsia"/>
          <w:color w:val="000000" w:themeColor="text1"/>
          <w:sz w:val="32"/>
          <w:szCs w:val="32"/>
        </w:rPr>
        <w:t>年內，依本解釋意旨妥為修正。逾期未完成修正者，法院應依審判中被告之請</w:t>
      </w:r>
      <w:r w:rsidRPr="00A00C5C">
        <w:rPr>
          <w:rFonts w:ascii="Times New Roman" w:eastAsia="標楷體" w:hAnsi="Times New Roman" w:cs="Times New Roman"/>
          <w:color w:val="000000" w:themeColor="text1"/>
          <w:sz w:val="32"/>
          <w:szCs w:val="32"/>
        </w:rPr>
        <w:t>求</w:t>
      </w:r>
      <w:r w:rsidRPr="00A00C5C">
        <w:rPr>
          <w:rFonts w:ascii="Times New Roman" w:eastAsia="標楷體" w:hAnsi="Times New Roman" w:cs="Times New Roman" w:hint="eastAsia"/>
          <w:color w:val="000000" w:themeColor="text1"/>
          <w:sz w:val="32"/>
          <w:szCs w:val="32"/>
        </w:rPr>
        <w:t>，於其預納費用後，付與全</w:t>
      </w:r>
      <w:r w:rsidRPr="00A00C5C">
        <w:rPr>
          <w:rFonts w:ascii="Times New Roman" w:eastAsia="標楷體" w:hAnsi="Times New Roman" w:cs="Times New Roman"/>
          <w:color w:val="000000" w:themeColor="text1"/>
          <w:sz w:val="32"/>
          <w:szCs w:val="32"/>
        </w:rPr>
        <w:t>部</w:t>
      </w:r>
      <w:r w:rsidRPr="00A00C5C">
        <w:rPr>
          <w:rFonts w:ascii="Times New Roman" w:eastAsia="標楷體" w:hAnsi="Times New Roman" w:cs="Times New Roman" w:hint="eastAsia"/>
          <w:color w:val="000000" w:themeColor="text1"/>
          <w:sz w:val="32"/>
          <w:szCs w:val="32"/>
        </w:rPr>
        <w:t>卷宗及證物之</w:t>
      </w:r>
      <w:r w:rsidR="004A6F79" w:rsidRPr="00A00C5C">
        <w:rPr>
          <w:rFonts w:ascii="Times New Roman" w:eastAsia="標楷體" w:hAnsi="Times New Roman" w:cs="Times New Roman" w:hint="eastAsia"/>
          <w:color w:val="000000" w:themeColor="text1"/>
          <w:sz w:val="32"/>
          <w:szCs w:val="32"/>
        </w:rPr>
        <w:t>影</w:t>
      </w:r>
      <w:r w:rsidRPr="00A00C5C">
        <w:rPr>
          <w:rFonts w:ascii="Times New Roman" w:eastAsia="標楷體" w:hAnsi="Times New Roman" w:cs="Times New Roman" w:hint="eastAsia"/>
          <w:color w:val="000000" w:themeColor="text1"/>
          <w:sz w:val="32"/>
          <w:szCs w:val="32"/>
        </w:rPr>
        <w:t>本</w:t>
      </w:r>
      <w:r w:rsidR="00892C53" w:rsidRPr="00A00C5C">
        <w:rPr>
          <w:rFonts w:ascii="Times New Roman" w:eastAsia="標楷體" w:hAnsi="Times New Roman" w:cs="Times New Roman"/>
          <w:color w:val="000000" w:themeColor="text1"/>
          <w:sz w:val="32"/>
          <w:szCs w:val="32"/>
        </w:rPr>
        <w:t>。</w:t>
      </w:r>
    </w:p>
    <w:p w:rsidR="00892C53" w:rsidRPr="00A00C5C" w:rsidRDefault="009E4F3D" w:rsidP="00892C53">
      <w:pPr>
        <w:tabs>
          <w:tab w:val="left" w:pos="6216"/>
        </w:tabs>
        <w:overflowPunct w:val="0"/>
        <w:spacing w:line="520" w:lineRule="exact"/>
        <w:ind w:firstLineChars="200" w:firstLine="640"/>
        <w:jc w:val="both"/>
        <w:rPr>
          <w:rFonts w:ascii="Times New Roman" w:eastAsia="標楷體" w:hAnsi="Times New Roman" w:cs="Times New Roman"/>
          <w:b/>
          <w:color w:val="000000" w:themeColor="text1"/>
          <w:sz w:val="32"/>
          <w:szCs w:val="32"/>
        </w:rPr>
      </w:pPr>
      <w:r w:rsidRPr="00A00C5C">
        <w:rPr>
          <w:rFonts w:ascii="Times New Roman" w:eastAsia="標楷體" w:hAnsi="Times New Roman" w:cs="Times New Roman" w:hint="eastAsia"/>
          <w:color w:val="000000" w:themeColor="text1"/>
          <w:sz w:val="32"/>
          <w:szCs w:val="32"/>
        </w:rPr>
        <w:t>本件暫時處分之聲請，應予駁回</w:t>
      </w:r>
      <w:r w:rsidR="00892C53" w:rsidRPr="00A00C5C">
        <w:rPr>
          <w:rFonts w:ascii="Times New Roman" w:eastAsia="標楷體" w:hAnsi="Times New Roman" w:cs="Times New Roman"/>
          <w:color w:val="000000" w:themeColor="text1"/>
          <w:sz w:val="32"/>
          <w:szCs w:val="32"/>
        </w:rPr>
        <w:t>。</w:t>
      </w:r>
    </w:p>
    <w:p w:rsidR="00310767" w:rsidRPr="00A00C5C" w:rsidRDefault="00833430" w:rsidP="00AF4335">
      <w:pPr>
        <w:pStyle w:val="HTML"/>
        <w:overflowPunct w:val="0"/>
        <w:spacing w:beforeLines="100" w:before="360" w:afterLines="50" w:after="180" w:line="500" w:lineRule="exact"/>
        <w:jc w:val="both"/>
        <w:rPr>
          <w:rFonts w:ascii="Times New Roman" w:eastAsia="標楷體" w:hAnsi="Times New Roman" w:cs="Times New Roman"/>
          <w:b/>
          <w:color w:val="000000" w:themeColor="text1"/>
          <w:sz w:val="32"/>
          <w:szCs w:val="32"/>
        </w:rPr>
      </w:pPr>
      <w:r w:rsidRPr="00A00C5C">
        <w:rPr>
          <w:rFonts w:ascii="Times New Roman" w:eastAsia="標楷體" w:hAnsi="Times New Roman" w:cs="Times New Roman"/>
          <w:b/>
          <w:color w:val="000000" w:themeColor="text1"/>
          <w:sz w:val="32"/>
          <w:szCs w:val="32"/>
        </w:rPr>
        <w:t>解釋理由書</w:t>
      </w:r>
    </w:p>
    <w:p w:rsidR="00833430" w:rsidRPr="00A00C5C" w:rsidRDefault="00986A0F" w:rsidP="009B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640"/>
        <w:jc w:val="both"/>
        <w:rPr>
          <w:rFonts w:ascii="Times New Roman" w:eastAsia="標楷體" w:hAnsi="Times New Roman" w:cs="Times New Roman"/>
          <w:color w:val="000000" w:themeColor="text1"/>
          <w:sz w:val="32"/>
          <w:szCs w:val="32"/>
        </w:rPr>
      </w:pPr>
      <w:r w:rsidRPr="00A00C5C">
        <w:rPr>
          <w:rFonts w:ascii="Times New Roman" w:eastAsia="標楷體" w:hAnsi="Times New Roman" w:cs="Times New Roman" w:hint="eastAsia"/>
          <w:color w:val="000000" w:themeColor="text1"/>
          <w:sz w:val="32"/>
          <w:szCs w:val="32"/>
        </w:rPr>
        <w:t>聲請人朱旺星（下稱聲請人</w:t>
      </w:r>
      <w:r w:rsidR="00BF0CCF" w:rsidRPr="00A00C5C">
        <w:rPr>
          <w:rFonts w:ascii="Times New Roman" w:eastAsia="標楷體" w:hAnsi="Times New Roman" w:cs="Times New Roman" w:hint="eastAsia"/>
          <w:color w:val="000000" w:themeColor="text1"/>
          <w:sz w:val="32"/>
          <w:szCs w:val="32"/>
        </w:rPr>
        <w:t>一</w:t>
      </w:r>
      <w:r w:rsidRPr="00A00C5C">
        <w:rPr>
          <w:rFonts w:ascii="Times New Roman" w:eastAsia="標楷體" w:hAnsi="Times New Roman" w:cs="Times New Roman" w:hint="eastAsia"/>
          <w:color w:val="000000" w:themeColor="text1"/>
          <w:sz w:val="32"/>
          <w:szCs w:val="32"/>
        </w:rPr>
        <w:t>）經臺灣高等法院臺南分院</w:t>
      </w:r>
      <w:r w:rsidRPr="00A00C5C">
        <w:rPr>
          <w:rFonts w:ascii="Times New Roman" w:eastAsia="標楷體" w:hAnsi="Times New Roman" w:cs="Times New Roman" w:hint="eastAsia"/>
          <w:color w:val="000000" w:themeColor="text1"/>
          <w:sz w:val="32"/>
          <w:szCs w:val="32"/>
        </w:rPr>
        <w:t>98</w:t>
      </w:r>
      <w:r w:rsidRPr="00A00C5C">
        <w:rPr>
          <w:rFonts w:ascii="Times New Roman" w:eastAsia="標楷體" w:hAnsi="Times New Roman" w:cs="Times New Roman" w:hint="eastAsia"/>
          <w:color w:val="000000" w:themeColor="text1"/>
          <w:sz w:val="32"/>
          <w:szCs w:val="32"/>
        </w:rPr>
        <w:t>年度重更（四）字第</w:t>
      </w:r>
      <w:r w:rsidRPr="00A00C5C">
        <w:rPr>
          <w:rFonts w:ascii="Times New Roman" w:eastAsia="標楷體" w:hAnsi="Times New Roman" w:cs="Times New Roman" w:hint="eastAsia"/>
          <w:color w:val="000000" w:themeColor="text1"/>
          <w:sz w:val="32"/>
          <w:szCs w:val="32"/>
        </w:rPr>
        <w:t>42</w:t>
      </w:r>
      <w:r w:rsidRPr="00A00C5C">
        <w:rPr>
          <w:rFonts w:ascii="Times New Roman" w:eastAsia="標楷體" w:hAnsi="Times New Roman" w:cs="Times New Roman" w:hint="eastAsia"/>
          <w:color w:val="000000" w:themeColor="text1"/>
          <w:sz w:val="32"/>
          <w:szCs w:val="32"/>
        </w:rPr>
        <w:t>號刑事判決判刑確定後，認該判決認定犯罪事實有誤，為進行訴訟救濟，向臺灣高等法院臺南分院聲請交付卷內照片，經該院</w:t>
      </w:r>
      <w:r w:rsidRPr="00A00C5C">
        <w:rPr>
          <w:rFonts w:ascii="Times New Roman" w:eastAsia="標楷體" w:hAnsi="Times New Roman" w:cs="Times New Roman" w:hint="eastAsia"/>
          <w:color w:val="000000" w:themeColor="text1"/>
          <w:sz w:val="32"/>
          <w:szCs w:val="32"/>
        </w:rPr>
        <w:t>105</w:t>
      </w:r>
      <w:r w:rsidRPr="00A00C5C">
        <w:rPr>
          <w:rFonts w:ascii="Times New Roman" w:eastAsia="標楷體" w:hAnsi="Times New Roman" w:cs="Times New Roman" w:hint="eastAsia"/>
          <w:color w:val="000000" w:themeColor="text1"/>
          <w:sz w:val="32"/>
          <w:szCs w:val="32"/>
        </w:rPr>
        <w:t>年度聲字第</w:t>
      </w:r>
      <w:r w:rsidRPr="00A00C5C">
        <w:rPr>
          <w:rFonts w:ascii="Times New Roman" w:eastAsia="標楷體" w:hAnsi="Times New Roman" w:cs="Times New Roman" w:hint="eastAsia"/>
          <w:color w:val="000000" w:themeColor="text1"/>
          <w:sz w:val="32"/>
          <w:szCs w:val="32"/>
        </w:rPr>
        <w:t>20</w:t>
      </w:r>
      <w:r w:rsidRPr="00A00C5C">
        <w:rPr>
          <w:rFonts w:ascii="Times New Roman" w:eastAsia="標楷體" w:hAnsi="Times New Roman" w:cs="Times New Roman" w:hint="eastAsia"/>
          <w:color w:val="000000" w:themeColor="text1"/>
          <w:sz w:val="32"/>
          <w:szCs w:val="32"/>
        </w:rPr>
        <w:t>號刑事裁定駁回，抗告後經最高法院</w:t>
      </w:r>
      <w:r w:rsidRPr="00A00C5C">
        <w:rPr>
          <w:rFonts w:ascii="Times New Roman" w:eastAsia="標楷體" w:hAnsi="Times New Roman" w:cs="Times New Roman" w:hint="eastAsia"/>
          <w:color w:val="000000" w:themeColor="text1"/>
          <w:sz w:val="32"/>
          <w:szCs w:val="32"/>
        </w:rPr>
        <w:t>105</w:t>
      </w:r>
      <w:r w:rsidRPr="00A00C5C">
        <w:rPr>
          <w:rFonts w:ascii="Times New Roman" w:eastAsia="標楷體" w:hAnsi="Times New Roman" w:cs="Times New Roman" w:hint="eastAsia"/>
          <w:color w:val="000000" w:themeColor="text1"/>
          <w:sz w:val="32"/>
          <w:szCs w:val="32"/>
        </w:rPr>
        <w:t>年度台抗字第</w:t>
      </w:r>
      <w:r w:rsidRPr="00A00C5C">
        <w:rPr>
          <w:rFonts w:ascii="Times New Roman" w:eastAsia="標楷體" w:hAnsi="Times New Roman" w:cs="Times New Roman" w:hint="eastAsia"/>
          <w:color w:val="000000" w:themeColor="text1"/>
          <w:sz w:val="32"/>
          <w:szCs w:val="32"/>
        </w:rPr>
        <w:t>205</w:t>
      </w:r>
      <w:r w:rsidRPr="00A00C5C">
        <w:rPr>
          <w:rFonts w:ascii="Times New Roman" w:eastAsia="標楷體" w:hAnsi="Times New Roman" w:cs="Times New Roman" w:hint="eastAsia"/>
          <w:color w:val="000000" w:themeColor="text1"/>
          <w:sz w:val="32"/>
          <w:szCs w:val="32"/>
        </w:rPr>
        <w:t>號刑事裁定（下稱確定終局裁定一），認判決確定後，無辯護人之被告閱錄卷證之權利，雖可類推適用</w:t>
      </w:r>
      <w:r w:rsidR="00BF0CCF" w:rsidRPr="00A00C5C">
        <w:rPr>
          <w:rFonts w:ascii="Times New Roman" w:eastAsia="標楷體" w:hAnsi="Times New Roman" w:cs="Times New Roman" w:hint="eastAsia"/>
          <w:color w:val="000000" w:themeColor="text1"/>
          <w:sz w:val="32"/>
          <w:szCs w:val="32"/>
        </w:rPr>
        <w:t>刑事訴訟法第</w:t>
      </w:r>
      <w:r w:rsidR="00BF0CCF" w:rsidRPr="00A00C5C">
        <w:rPr>
          <w:rFonts w:ascii="Times New Roman" w:eastAsia="標楷體" w:hAnsi="Times New Roman" w:cs="Times New Roman" w:hint="eastAsia"/>
          <w:color w:val="000000" w:themeColor="text1"/>
          <w:sz w:val="32"/>
          <w:szCs w:val="32"/>
        </w:rPr>
        <w:t>33</w:t>
      </w:r>
      <w:r w:rsidR="00BF0CCF" w:rsidRPr="00A00C5C">
        <w:rPr>
          <w:rFonts w:ascii="Times New Roman" w:eastAsia="標楷體" w:hAnsi="Times New Roman" w:cs="Times New Roman" w:hint="eastAsia"/>
          <w:color w:val="000000" w:themeColor="text1"/>
          <w:sz w:val="32"/>
          <w:szCs w:val="32"/>
        </w:rPr>
        <w:t>條第</w:t>
      </w:r>
      <w:r w:rsidR="00BF0CCF" w:rsidRPr="00A00C5C">
        <w:rPr>
          <w:rFonts w:ascii="Times New Roman" w:eastAsia="標楷體" w:hAnsi="Times New Roman" w:cs="Times New Roman" w:hint="eastAsia"/>
          <w:color w:val="000000" w:themeColor="text1"/>
          <w:sz w:val="32"/>
          <w:szCs w:val="32"/>
        </w:rPr>
        <w:t>2</w:t>
      </w:r>
      <w:r w:rsidR="00BF0CCF" w:rsidRPr="00A00C5C">
        <w:rPr>
          <w:rFonts w:ascii="Times New Roman" w:eastAsia="標楷體" w:hAnsi="Times New Roman" w:cs="Times New Roman" w:hint="eastAsia"/>
          <w:color w:val="000000" w:themeColor="text1"/>
          <w:sz w:val="32"/>
          <w:szCs w:val="32"/>
        </w:rPr>
        <w:t>項前段規定：「無辯護人之被告於審判中得預納費用請求付與卷內筆錄之影本」（下稱系爭規定）</w:t>
      </w:r>
      <w:r w:rsidRPr="00A00C5C">
        <w:rPr>
          <w:rFonts w:ascii="Times New Roman" w:eastAsia="標楷體" w:hAnsi="Times New Roman" w:cs="Times New Roman" w:hint="eastAsia"/>
          <w:color w:val="000000" w:themeColor="text1"/>
          <w:sz w:val="32"/>
          <w:szCs w:val="32"/>
        </w:rPr>
        <w:t>，請求付與卷內筆錄之影本，但因刑案照片依其性質，應屬書證或證物，是其聲請</w:t>
      </w:r>
      <w:r w:rsidRPr="00A00C5C">
        <w:rPr>
          <w:rFonts w:ascii="Times New Roman" w:eastAsia="標楷體" w:hAnsi="Times New Roman" w:cs="Times New Roman" w:hint="eastAsia"/>
          <w:color w:val="000000" w:themeColor="text1"/>
          <w:sz w:val="32"/>
          <w:szCs w:val="32"/>
        </w:rPr>
        <w:lastRenderedPageBreak/>
        <w:t>付與刑案照片影本，於法不合，乃以其抗告無理由駁回確定</w:t>
      </w:r>
      <w:r w:rsidR="00833430" w:rsidRPr="00A00C5C">
        <w:rPr>
          <w:rFonts w:ascii="Times New Roman" w:eastAsia="標楷體" w:hAnsi="Times New Roman" w:cs="Times New Roman"/>
          <w:color w:val="000000" w:themeColor="text1"/>
          <w:sz w:val="32"/>
          <w:szCs w:val="32"/>
        </w:rPr>
        <w:t>。</w:t>
      </w:r>
    </w:p>
    <w:p w:rsidR="00833430" w:rsidRPr="00A00C5C" w:rsidRDefault="00DB2A70" w:rsidP="009B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640"/>
        <w:jc w:val="both"/>
        <w:rPr>
          <w:rFonts w:ascii="Times New Roman" w:eastAsia="標楷體" w:hAnsi="Times New Roman" w:cs="Times New Roman"/>
          <w:color w:val="000000" w:themeColor="text1"/>
          <w:sz w:val="32"/>
          <w:szCs w:val="32"/>
        </w:rPr>
      </w:pPr>
      <w:r w:rsidRPr="00A00C5C">
        <w:rPr>
          <w:rFonts w:ascii="Times New Roman" w:eastAsia="標楷體" w:hAnsi="Times New Roman" w:cs="Times New Roman" w:hint="eastAsia"/>
          <w:color w:val="000000" w:themeColor="text1"/>
          <w:sz w:val="32"/>
          <w:szCs w:val="32"/>
        </w:rPr>
        <w:t>聲請人王全中（下稱聲請人二）為臺灣臺中地方法院</w:t>
      </w:r>
      <w:r w:rsidRPr="00A00C5C">
        <w:rPr>
          <w:rFonts w:ascii="Times New Roman" w:eastAsia="標楷體" w:hAnsi="Times New Roman" w:cs="Times New Roman" w:hint="eastAsia"/>
          <w:color w:val="000000" w:themeColor="text1"/>
          <w:sz w:val="32"/>
          <w:szCs w:val="32"/>
        </w:rPr>
        <w:t>106</w:t>
      </w:r>
      <w:r w:rsidRPr="00A00C5C">
        <w:rPr>
          <w:rFonts w:ascii="Times New Roman" w:eastAsia="標楷體" w:hAnsi="Times New Roman" w:cs="Times New Roman" w:hint="eastAsia"/>
          <w:color w:val="000000" w:themeColor="text1"/>
          <w:sz w:val="32"/>
          <w:szCs w:val="32"/>
        </w:rPr>
        <w:t>年度易字第</w:t>
      </w:r>
      <w:r w:rsidRPr="00A00C5C">
        <w:rPr>
          <w:rFonts w:ascii="Times New Roman" w:eastAsia="標楷體" w:hAnsi="Times New Roman" w:cs="Times New Roman" w:hint="eastAsia"/>
          <w:color w:val="000000" w:themeColor="text1"/>
          <w:sz w:val="32"/>
          <w:szCs w:val="32"/>
        </w:rPr>
        <w:t>3060</w:t>
      </w:r>
      <w:r w:rsidRPr="00A00C5C">
        <w:rPr>
          <w:rFonts w:ascii="Times New Roman" w:eastAsia="標楷體" w:hAnsi="Times New Roman" w:cs="Times New Roman" w:hint="eastAsia"/>
          <w:color w:val="000000" w:themeColor="text1"/>
          <w:sz w:val="32"/>
          <w:szCs w:val="32"/>
        </w:rPr>
        <w:t>號刑事案件被告，向臺灣臺中地方法院聲請交付該案</w:t>
      </w:r>
      <w:r w:rsidRPr="00A00C5C">
        <w:rPr>
          <w:rFonts w:ascii="Times New Roman" w:eastAsia="標楷體" w:hAnsi="Times New Roman" w:cs="Times New Roman"/>
          <w:color w:val="000000" w:themeColor="text1"/>
          <w:sz w:val="32"/>
          <w:szCs w:val="32"/>
        </w:rPr>
        <w:t>審判</w:t>
      </w:r>
      <w:r w:rsidRPr="00A00C5C">
        <w:rPr>
          <w:rFonts w:ascii="Times New Roman" w:eastAsia="標楷體" w:hAnsi="Times New Roman" w:cs="Times New Roman" w:hint="eastAsia"/>
          <w:color w:val="000000" w:themeColor="text1"/>
          <w:sz w:val="32"/>
          <w:szCs w:val="32"/>
        </w:rPr>
        <w:t>卷證及偵查全卷光碟，經該院中</w:t>
      </w:r>
      <w:r w:rsidRPr="00A00C5C">
        <w:rPr>
          <w:rFonts w:ascii="Times New Roman" w:eastAsia="標楷體" w:hAnsi="Times New Roman" w:cs="Times New Roman"/>
          <w:color w:val="000000" w:themeColor="text1"/>
          <w:sz w:val="32"/>
          <w:szCs w:val="32"/>
        </w:rPr>
        <w:t>華民國</w:t>
      </w:r>
      <w:r w:rsidRPr="00A00C5C">
        <w:rPr>
          <w:rFonts w:ascii="Times New Roman" w:eastAsia="標楷體" w:hAnsi="Times New Roman" w:cs="Times New Roman" w:hint="eastAsia"/>
          <w:color w:val="000000" w:themeColor="text1"/>
          <w:sz w:val="32"/>
          <w:szCs w:val="32"/>
        </w:rPr>
        <w:t>106</w:t>
      </w:r>
      <w:r w:rsidRPr="00A00C5C">
        <w:rPr>
          <w:rFonts w:ascii="Times New Roman" w:eastAsia="標楷體" w:hAnsi="Times New Roman" w:cs="Times New Roman" w:hint="eastAsia"/>
          <w:color w:val="000000" w:themeColor="text1"/>
          <w:sz w:val="32"/>
          <w:szCs w:val="32"/>
        </w:rPr>
        <w:t>年</w:t>
      </w:r>
      <w:r w:rsidRPr="00A00C5C">
        <w:rPr>
          <w:rFonts w:ascii="Times New Roman" w:eastAsia="標楷體" w:hAnsi="Times New Roman" w:cs="Times New Roman" w:hint="eastAsia"/>
          <w:color w:val="000000" w:themeColor="text1"/>
          <w:sz w:val="32"/>
          <w:szCs w:val="32"/>
        </w:rPr>
        <w:t>11</w:t>
      </w:r>
      <w:r w:rsidRPr="00A00C5C">
        <w:rPr>
          <w:rFonts w:ascii="Times New Roman" w:eastAsia="標楷體" w:hAnsi="Times New Roman" w:cs="Times New Roman" w:hint="eastAsia"/>
          <w:color w:val="000000" w:themeColor="text1"/>
          <w:sz w:val="32"/>
          <w:szCs w:val="32"/>
        </w:rPr>
        <w:t>月</w:t>
      </w:r>
      <w:r w:rsidRPr="00A00C5C">
        <w:rPr>
          <w:rFonts w:ascii="Times New Roman" w:eastAsia="標楷體" w:hAnsi="Times New Roman" w:cs="Times New Roman" w:hint="eastAsia"/>
          <w:color w:val="000000" w:themeColor="text1"/>
          <w:sz w:val="32"/>
          <w:szCs w:val="32"/>
        </w:rPr>
        <w:t>15</w:t>
      </w:r>
      <w:r w:rsidRPr="00A00C5C">
        <w:rPr>
          <w:rFonts w:ascii="Times New Roman" w:eastAsia="標楷體" w:hAnsi="Times New Roman" w:cs="Times New Roman" w:hint="eastAsia"/>
          <w:color w:val="000000" w:themeColor="text1"/>
          <w:sz w:val="32"/>
          <w:szCs w:val="32"/>
        </w:rPr>
        <w:t>日</w:t>
      </w:r>
      <w:r w:rsidRPr="00A00C5C">
        <w:rPr>
          <w:rFonts w:ascii="Times New Roman" w:eastAsia="標楷體" w:hAnsi="Times New Roman" w:cs="Times New Roman" w:hint="eastAsia"/>
          <w:color w:val="000000" w:themeColor="text1"/>
          <w:sz w:val="32"/>
          <w:szCs w:val="32"/>
        </w:rPr>
        <w:t>106</w:t>
      </w:r>
      <w:r w:rsidRPr="00A00C5C">
        <w:rPr>
          <w:rFonts w:ascii="Times New Roman" w:eastAsia="標楷體" w:hAnsi="Times New Roman" w:cs="Times New Roman" w:hint="eastAsia"/>
          <w:color w:val="000000" w:themeColor="text1"/>
          <w:sz w:val="32"/>
          <w:szCs w:val="32"/>
        </w:rPr>
        <w:t>年度易字第</w:t>
      </w:r>
      <w:r w:rsidRPr="00A00C5C">
        <w:rPr>
          <w:rFonts w:ascii="Times New Roman" w:eastAsia="標楷體" w:hAnsi="Times New Roman" w:cs="Times New Roman" w:hint="eastAsia"/>
          <w:color w:val="000000" w:themeColor="text1"/>
          <w:sz w:val="32"/>
          <w:szCs w:val="32"/>
        </w:rPr>
        <w:t>3060</w:t>
      </w:r>
      <w:r w:rsidRPr="00A00C5C">
        <w:rPr>
          <w:rFonts w:ascii="Times New Roman" w:eastAsia="標楷體" w:hAnsi="Times New Roman" w:cs="Times New Roman" w:hint="eastAsia"/>
          <w:color w:val="000000" w:themeColor="text1"/>
          <w:sz w:val="32"/>
          <w:szCs w:val="32"/>
        </w:rPr>
        <w:t>號刑事裁定（下稱確定終局裁定二）以</w:t>
      </w:r>
      <w:r w:rsidRPr="00A00C5C">
        <w:rPr>
          <w:rFonts w:ascii="Times New Roman" w:eastAsia="標楷體" w:hAnsi="Times New Roman" w:cs="Times New Roman"/>
          <w:color w:val="000000" w:themeColor="text1"/>
          <w:sz w:val="32"/>
          <w:szCs w:val="32"/>
        </w:rPr>
        <w:t>其無辯護人</w:t>
      </w:r>
      <w:r w:rsidRPr="00A00C5C">
        <w:rPr>
          <w:rFonts w:ascii="Times New Roman" w:eastAsia="標楷體" w:hAnsi="Times New Roman" w:cs="Times New Roman" w:hint="eastAsia"/>
          <w:color w:val="000000" w:themeColor="text1"/>
          <w:sz w:val="32"/>
          <w:szCs w:val="32"/>
        </w:rPr>
        <w:t>而</w:t>
      </w:r>
      <w:r w:rsidRPr="00A00C5C">
        <w:rPr>
          <w:rFonts w:ascii="Times New Roman" w:eastAsia="標楷體" w:hAnsi="Times New Roman" w:cs="Times New Roman"/>
          <w:color w:val="000000" w:themeColor="text1"/>
          <w:sz w:val="32"/>
          <w:szCs w:val="32"/>
        </w:rPr>
        <w:t>聲請</w:t>
      </w:r>
      <w:r w:rsidRPr="00A00C5C">
        <w:rPr>
          <w:rFonts w:ascii="Times New Roman" w:eastAsia="標楷體" w:hAnsi="Times New Roman" w:cs="Times New Roman" w:hint="eastAsia"/>
          <w:color w:val="000000" w:themeColor="text1"/>
          <w:sz w:val="32"/>
          <w:szCs w:val="32"/>
        </w:rPr>
        <w:t>付</w:t>
      </w:r>
      <w:r w:rsidRPr="00A00C5C">
        <w:rPr>
          <w:rFonts w:ascii="Times New Roman" w:eastAsia="標楷體" w:hAnsi="Times New Roman" w:cs="Times New Roman"/>
          <w:color w:val="000000" w:themeColor="text1"/>
          <w:sz w:val="32"/>
          <w:szCs w:val="32"/>
        </w:rPr>
        <w:t>與筆錄</w:t>
      </w:r>
      <w:r w:rsidRPr="00A00C5C">
        <w:rPr>
          <w:rFonts w:ascii="Times New Roman" w:eastAsia="標楷體" w:hAnsi="Times New Roman" w:cs="Times New Roman" w:hint="eastAsia"/>
          <w:color w:val="000000" w:themeColor="text1"/>
          <w:sz w:val="32"/>
          <w:szCs w:val="32"/>
        </w:rPr>
        <w:t>外</w:t>
      </w:r>
      <w:r w:rsidRPr="00A00C5C">
        <w:rPr>
          <w:rFonts w:ascii="Times New Roman" w:eastAsia="標楷體" w:hAnsi="Times New Roman" w:cs="Times New Roman"/>
          <w:color w:val="000000" w:themeColor="text1"/>
          <w:sz w:val="32"/>
          <w:szCs w:val="32"/>
        </w:rPr>
        <w:t>之其他卷證資料</w:t>
      </w:r>
      <w:r w:rsidRPr="00A00C5C">
        <w:rPr>
          <w:rFonts w:ascii="Times New Roman" w:eastAsia="標楷體" w:hAnsi="Times New Roman" w:cs="Times New Roman" w:hint="eastAsia"/>
          <w:color w:val="000000" w:themeColor="text1"/>
          <w:sz w:val="32"/>
          <w:szCs w:val="32"/>
        </w:rPr>
        <w:t>，</w:t>
      </w:r>
      <w:r w:rsidRPr="00A00C5C">
        <w:rPr>
          <w:rFonts w:ascii="Times New Roman" w:eastAsia="標楷體" w:hAnsi="Times New Roman" w:cs="Times New Roman"/>
          <w:color w:val="000000" w:themeColor="text1"/>
          <w:sz w:val="32"/>
          <w:szCs w:val="32"/>
        </w:rPr>
        <w:t>與系爭規定不符</w:t>
      </w:r>
      <w:r w:rsidRPr="00A00C5C">
        <w:rPr>
          <w:rFonts w:ascii="Times New Roman" w:eastAsia="標楷體" w:hAnsi="Times New Roman" w:cs="Times New Roman" w:hint="eastAsia"/>
          <w:color w:val="000000" w:themeColor="text1"/>
          <w:sz w:val="32"/>
          <w:szCs w:val="32"/>
        </w:rPr>
        <w:t>為</w:t>
      </w:r>
      <w:r w:rsidRPr="00A00C5C">
        <w:rPr>
          <w:rFonts w:ascii="Times New Roman" w:eastAsia="標楷體" w:hAnsi="Times New Roman" w:cs="Times New Roman"/>
          <w:color w:val="000000" w:themeColor="text1"/>
          <w:sz w:val="32"/>
          <w:szCs w:val="32"/>
        </w:rPr>
        <w:t>由</w:t>
      </w:r>
      <w:r w:rsidRPr="00A00C5C">
        <w:rPr>
          <w:rFonts w:ascii="Times New Roman" w:eastAsia="標楷體" w:hAnsi="Times New Roman" w:cs="Times New Roman" w:hint="eastAsia"/>
          <w:color w:val="000000" w:themeColor="text1"/>
          <w:sz w:val="32"/>
          <w:szCs w:val="32"/>
        </w:rPr>
        <w:t>而駁回，因不得抗告而確定</w:t>
      </w:r>
      <w:r w:rsidR="00833430" w:rsidRPr="00A00C5C">
        <w:rPr>
          <w:rFonts w:ascii="Times New Roman" w:eastAsia="標楷體" w:hAnsi="Times New Roman" w:cs="Times New Roman"/>
          <w:color w:val="000000" w:themeColor="text1"/>
          <w:sz w:val="32"/>
          <w:szCs w:val="32"/>
        </w:rPr>
        <w:t>。</w:t>
      </w:r>
    </w:p>
    <w:p w:rsidR="00112B94" w:rsidRDefault="00575724" w:rsidP="0011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640"/>
        <w:jc w:val="both"/>
        <w:rPr>
          <w:rFonts w:ascii="Times New Roman" w:eastAsia="標楷體" w:hAnsi="Times New Roman" w:cs="Times New Roman"/>
          <w:color w:val="000000" w:themeColor="text1"/>
          <w:sz w:val="32"/>
          <w:szCs w:val="32"/>
        </w:rPr>
      </w:pPr>
      <w:r w:rsidRPr="00A00C5C">
        <w:rPr>
          <w:rFonts w:ascii="Times New Roman" w:eastAsia="標楷體" w:hAnsi="Times New Roman" w:cs="Times New Roman" w:hint="eastAsia"/>
          <w:color w:val="000000" w:themeColor="text1"/>
          <w:sz w:val="32"/>
          <w:szCs w:val="32"/>
        </w:rPr>
        <w:t>聲請人一、</w:t>
      </w:r>
      <w:r w:rsidRPr="00A00C5C">
        <w:rPr>
          <w:rFonts w:ascii="Times New Roman" w:eastAsia="標楷體" w:hAnsi="Times New Roman" w:cs="Times New Roman"/>
          <w:color w:val="000000" w:themeColor="text1"/>
          <w:sz w:val="32"/>
          <w:szCs w:val="32"/>
        </w:rPr>
        <w:t>二</w:t>
      </w:r>
      <w:r w:rsidRPr="00A00C5C">
        <w:rPr>
          <w:rFonts w:ascii="Times New Roman" w:eastAsia="標楷體" w:hAnsi="Times New Roman" w:cs="Times New Roman" w:hint="eastAsia"/>
          <w:color w:val="000000" w:themeColor="text1"/>
          <w:sz w:val="32"/>
          <w:szCs w:val="32"/>
        </w:rPr>
        <w:t>認確定終局裁定一、</w:t>
      </w:r>
      <w:r w:rsidRPr="00A00C5C">
        <w:rPr>
          <w:rFonts w:ascii="Times New Roman" w:eastAsia="標楷體" w:hAnsi="Times New Roman" w:cs="Times New Roman"/>
          <w:color w:val="000000" w:themeColor="text1"/>
          <w:sz w:val="32"/>
          <w:szCs w:val="32"/>
        </w:rPr>
        <w:t>二</w:t>
      </w:r>
      <w:r w:rsidRPr="00A00C5C">
        <w:rPr>
          <w:rFonts w:ascii="Times New Roman" w:eastAsia="標楷體" w:hAnsi="Times New Roman" w:cs="Times New Roman" w:hint="eastAsia"/>
          <w:color w:val="000000" w:themeColor="text1"/>
          <w:sz w:val="32"/>
          <w:szCs w:val="32"/>
        </w:rPr>
        <w:t>所類推適用及</w:t>
      </w:r>
      <w:r w:rsidRPr="00A00C5C">
        <w:rPr>
          <w:rFonts w:ascii="Times New Roman" w:eastAsia="標楷體" w:hAnsi="Times New Roman" w:cs="Times New Roman"/>
          <w:color w:val="000000" w:themeColor="text1"/>
          <w:sz w:val="32"/>
          <w:szCs w:val="32"/>
        </w:rPr>
        <w:t>適用</w:t>
      </w:r>
      <w:r w:rsidRPr="00A00C5C">
        <w:rPr>
          <w:rFonts w:ascii="Times New Roman" w:eastAsia="標楷體" w:hAnsi="Times New Roman" w:cs="Times New Roman" w:hint="eastAsia"/>
          <w:color w:val="000000" w:themeColor="text1"/>
          <w:sz w:val="32"/>
          <w:szCs w:val="32"/>
        </w:rPr>
        <w:t>之系爭規定侵</w:t>
      </w:r>
      <w:r w:rsidRPr="00A00C5C">
        <w:rPr>
          <w:rFonts w:ascii="Times New Roman" w:eastAsia="標楷體" w:hAnsi="Times New Roman" w:cs="Times New Roman"/>
          <w:color w:val="000000" w:themeColor="text1"/>
          <w:sz w:val="32"/>
          <w:szCs w:val="32"/>
        </w:rPr>
        <w:t>害其憲法第</w:t>
      </w:r>
      <w:r w:rsidRPr="00A00C5C">
        <w:rPr>
          <w:rFonts w:ascii="Times New Roman" w:eastAsia="標楷體" w:hAnsi="Times New Roman" w:cs="Times New Roman" w:hint="eastAsia"/>
          <w:color w:val="000000" w:themeColor="text1"/>
          <w:sz w:val="32"/>
          <w:szCs w:val="32"/>
        </w:rPr>
        <w:t>16</w:t>
      </w:r>
      <w:r w:rsidRPr="00A00C5C">
        <w:rPr>
          <w:rFonts w:ascii="Times New Roman" w:eastAsia="標楷體" w:hAnsi="Times New Roman" w:cs="Times New Roman" w:hint="eastAsia"/>
          <w:color w:val="000000" w:themeColor="text1"/>
          <w:sz w:val="32"/>
          <w:szCs w:val="32"/>
        </w:rPr>
        <w:t>條</w:t>
      </w:r>
      <w:r w:rsidRPr="00A00C5C">
        <w:rPr>
          <w:rFonts w:ascii="Times New Roman" w:eastAsia="標楷體" w:hAnsi="Times New Roman" w:cs="Times New Roman"/>
          <w:color w:val="000000" w:themeColor="text1"/>
          <w:sz w:val="32"/>
          <w:szCs w:val="32"/>
        </w:rPr>
        <w:t>保障之訴訟權</w:t>
      </w:r>
      <w:r w:rsidRPr="00A00C5C">
        <w:rPr>
          <w:rFonts w:ascii="Times New Roman" w:eastAsia="標楷體" w:hAnsi="Times New Roman" w:cs="Times New Roman" w:hint="eastAsia"/>
          <w:color w:val="000000" w:themeColor="text1"/>
          <w:sz w:val="32"/>
          <w:szCs w:val="32"/>
        </w:rPr>
        <w:t>，向本院聲請解釋憲法，均核與司法院大法官審理案件法（下稱大審法）第</w:t>
      </w:r>
      <w:r w:rsidRPr="00A00C5C">
        <w:rPr>
          <w:rFonts w:ascii="Times New Roman" w:eastAsia="標楷體" w:hAnsi="Times New Roman" w:cs="Times New Roman" w:hint="eastAsia"/>
          <w:color w:val="000000" w:themeColor="text1"/>
          <w:sz w:val="32"/>
          <w:szCs w:val="32"/>
        </w:rPr>
        <w:t>5</w:t>
      </w:r>
      <w:r w:rsidRPr="00A00C5C">
        <w:rPr>
          <w:rFonts w:ascii="Times New Roman" w:eastAsia="標楷體" w:hAnsi="Times New Roman" w:cs="Times New Roman" w:hint="eastAsia"/>
          <w:color w:val="000000" w:themeColor="text1"/>
          <w:sz w:val="32"/>
          <w:szCs w:val="32"/>
        </w:rPr>
        <w:t>條第</w:t>
      </w:r>
      <w:r w:rsidRPr="00A00C5C">
        <w:rPr>
          <w:rFonts w:ascii="Times New Roman" w:eastAsia="標楷體" w:hAnsi="Times New Roman" w:cs="Times New Roman" w:hint="eastAsia"/>
          <w:color w:val="000000" w:themeColor="text1"/>
          <w:sz w:val="32"/>
          <w:szCs w:val="32"/>
        </w:rPr>
        <w:t>1</w:t>
      </w:r>
      <w:r w:rsidRPr="00A00C5C">
        <w:rPr>
          <w:rFonts w:ascii="Times New Roman" w:eastAsia="標楷體" w:hAnsi="Times New Roman" w:cs="Times New Roman" w:hint="eastAsia"/>
          <w:color w:val="000000" w:themeColor="text1"/>
          <w:sz w:val="32"/>
          <w:szCs w:val="32"/>
        </w:rPr>
        <w:t>項第</w:t>
      </w:r>
      <w:r w:rsidRPr="00A00C5C">
        <w:rPr>
          <w:rFonts w:ascii="Times New Roman" w:eastAsia="標楷體" w:hAnsi="Times New Roman" w:cs="Times New Roman" w:hint="eastAsia"/>
          <w:color w:val="000000" w:themeColor="text1"/>
          <w:sz w:val="32"/>
          <w:szCs w:val="32"/>
        </w:rPr>
        <w:t>2</w:t>
      </w:r>
      <w:r w:rsidRPr="00A00C5C">
        <w:rPr>
          <w:rFonts w:ascii="Times New Roman" w:eastAsia="標楷體" w:hAnsi="Times New Roman" w:cs="Times New Roman" w:hint="eastAsia"/>
          <w:color w:val="000000" w:themeColor="text1"/>
          <w:sz w:val="32"/>
          <w:szCs w:val="32"/>
        </w:rPr>
        <w:t>款要件相符，爰併予受理，作成本解釋，理由如下：</w:t>
      </w:r>
    </w:p>
    <w:p w:rsidR="00112B94" w:rsidRDefault="009E4F3D" w:rsidP="0011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640"/>
        <w:jc w:val="both"/>
        <w:rPr>
          <w:rFonts w:ascii="Times New Roman" w:eastAsia="標楷體" w:hAnsi="Times New Roman" w:cs="Times New Roman"/>
          <w:color w:val="000000" w:themeColor="text1"/>
          <w:sz w:val="32"/>
          <w:szCs w:val="32"/>
        </w:rPr>
      </w:pPr>
      <w:r w:rsidRPr="00A00C5C">
        <w:rPr>
          <w:rFonts w:ascii="Times New Roman" w:eastAsia="標楷體" w:hAnsi="Times New Roman" w:cs="Times New Roman" w:hint="eastAsia"/>
          <w:color w:val="000000" w:themeColor="text1"/>
          <w:sz w:val="32"/>
          <w:szCs w:val="32"/>
        </w:rPr>
        <w:t>憲法第</w:t>
      </w:r>
      <w:r w:rsidRPr="00A00C5C">
        <w:rPr>
          <w:rFonts w:ascii="Times New Roman" w:eastAsia="標楷體" w:hAnsi="Times New Roman" w:cs="Times New Roman" w:hint="eastAsia"/>
          <w:color w:val="000000" w:themeColor="text1"/>
          <w:sz w:val="32"/>
          <w:szCs w:val="32"/>
        </w:rPr>
        <w:t>16</w:t>
      </w:r>
      <w:r w:rsidRPr="00A00C5C">
        <w:rPr>
          <w:rFonts w:ascii="Times New Roman" w:eastAsia="標楷體" w:hAnsi="Times New Roman" w:cs="Times New Roman" w:hint="eastAsia"/>
          <w:color w:val="000000" w:themeColor="text1"/>
          <w:sz w:val="32"/>
          <w:szCs w:val="32"/>
        </w:rPr>
        <w:t>條規定人民有訴訟權，旨在確保人民有受公平審判之權利，依正當法律程序之要求，刑事被告應享有充分之防禦權（本</w:t>
      </w:r>
      <w:r w:rsidRPr="00A00C5C">
        <w:rPr>
          <w:rFonts w:ascii="Times New Roman" w:eastAsia="標楷體" w:hAnsi="Times New Roman" w:cs="Times New Roman"/>
          <w:color w:val="000000" w:themeColor="text1"/>
          <w:sz w:val="32"/>
          <w:szCs w:val="32"/>
        </w:rPr>
        <w:t>院釋字第</w:t>
      </w:r>
      <w:r w:rsidRPr="00A00C5C">
        <w:rPr>
          <w:rFonts w:ascii="Times New Roman" w:eastAsia="標楷體" w:hAnsi="Times New Roman" w:cs="Times New Roman" w:hint="eastAsia"/>
          <w:color w:val="000000" w:themeColor="text1"/>
          <w:sz w:val="32"/>
          <w:szCs w:val="32"/>
        </w:rPr>
        <w:t>654</w:t>
      </w:r>
      <w:r w:rsidRPr="00A00C5C">
        <w:rPr>
          <w:rFonts w:ascii="Times New Roman" w:eastAsia="標楷體" w:hAnsi="Times New Roman" w:cs="Times New Roman" w:hint="eastAsia"/>
          <w:color w:val="000000" w:themeColor="text1"/>
          <w:sz w:val="32"/>
          <w:szCs w:val="32"/>
        </w:rPr>
        <w:t>號</w:t>
      </w:r>
      <w:r w:rsidRPr="00A00C5C">
        <w:rPr>
          <w:rFonts w:ascii="Times New Roman" w:eastAsia="標楷體" w:hAnsi="Times New Roman" w:cs="Times New Roman"/>
          <w:color w:val="000000" w:themeColor="text1"/>
          <w:sz w:val="32"/>
          <w:szCs w:val="32"/>
        </w:rPr>
        <w:t>解釋參照</w:t>
      </w:r>
      <w:r w:rsidRPr="00A00C5C">
        <w:rPr>
          <w:rFonts w:ascii="Times New Roman" w:eastAsia="標楷體" w:hAnsi="Times New Roman" w:cs="Times New Roman" w:hint="eastAsia"/>
          <w:color w:val="000000" w:themeColor="text1"/>
          <w:sz w:val="32"/>
          <w:szCs w:val="32"/>
        </w:rPr>
        <w:t>），包括被告卷證資訊獲知權，俾受公平審判之保障。據此，刑事案件審判中，原則上應使被告得以適當方式適時獲知其被訴</w:t>
      </w:r>
      <w:r w:rsidR="005F16FE" w:rsidRPr="00A00C5C">
        <w:rPr>
          <w:rFonts w:ascii="Times New Roman" w:eastAsia="標楷體" w:hAnsi="Times New Roman" w:cs="Times New Roman" w:hint="eastAsia"/>
          <w:color w:val="000000" w:themeColor="text1"/>
          <w:sz w:val="32"/>
          <w:szCs w:val="32"/>
        </w:rPr>
        <w:t>案件</w:t>
      </w:r>
      <w:r w:rsidRPr="00A00C5C">
        <w:rPr>
          <w:rFonts w:ascii="Times New Roman" w:eastAsia="標楷體" w:hAnsi="Times New Roman" w:cs="Times New Roman" w:hint="eastAsia"/>
          <w:color w:val="000000" w:themeColor="text1"/>
          <w:sz w:val="32"/>
          <w:szCs w:val="32"/>
        </w:rPr>
        <w:t>之卷宗及證物全部內容</w:t>
      </w:r>
      <w:r w:rsidR="0039388F" w:rsidRPr="00A00C5C">
        <w:rPr>
          <w:rFonts w:ascii="Times New Roman" w:eastAsia="標楷體" w:hAnsi="Times New Roman" w:cs="Times New Roman"/>
          <w:color w:val="000000" w:themeColor="text1"/>
          <w:sz w:val="32"/>
          <w:szCs w:val="32"/>
        </w:rPr>
        <w:t>。</w:t>
      </w:r>
    </w:p>
    <w:p w:rsidR="0039388F" w:rsidRPr="00A00C5C" w:rsidRDefault="009E4F3D" w:rsidP="009B6174">
      <w:pPr>
        <w:overflowPunct w:val="0"/>
        <w:spacing w:beforeLines="50" w:before="180" w:afterLines="50" w:after="180" w:line="520" w:lineRule="exact"/>
        <w:ind w:firstLineChars="200" w:firstLine="640"/>
        <w:jc w:val="both"/>
        <w:rPr>
          <w:rFonts w:ascii="Times New Roman" w:eastAsia="標楷體" w:hAnsi="Times New Roman" w:cs="Times New Roman"/>
          <w:color w:val="000000" w:themeColor="text1"/>
          <w:sz w:val="32"/>
          <w:szCs w:val="32"/>
        </w:rPr>
      </w:pPr>
      <w:r w:rsidRPr="00A00C5C">
        <w:rPr>
          <w:rFonts w:ascii="Times New Roman" w:eastAsia="標楷體" w:hAnsi="Times New Roman" w:cs="Times New Roman" w:hint="eastAsia"/>
          <w:color w:val="000000" w:themeColor="text1"/>
          <w:sz w:val="32"/>
          <w:szCs w:val="32"/>
        </w:rPr>
        <w:t>系爭規定明定：「無辯護人之被告於審判中得預納費用請求付與卷內筆錄之影本。」是得直接獲知卷證資訊（請求付</w:t>
      </w:r>
      <w:r w:rsidR="003C03A8" w:rsidRPr="00A00C5C">
        <w:rPr>
          <w:rFonts w:ascii="Times New Roman" w:eastAsia="標楷體" w:hAnsi="Times New Roman" w:cs="Times New Roman" w:hint="eastAsia"/>
          <w:color w:val="000000" w:themeColor="text1"/>
          <w:sz w:val="32"/>
          <w:szCs w:val="32"/>
        </w:rPr>
        <w:t>與</w:t>
      </w:r>
      <w:r w:rsidRPr="00A00C5C">
        <w:rPr>
          <w:rFonts w:ascii="Times New Roman" w:eastAsia="標楷體" w:hAnsi="Times New Roman" w:cs="Times New Roman" w:hint="eastAsia"/>
          <w:color w:val="000000" w:themeColor="text1"/>
          <w:sz w:val="32"/>
          <w:szCs w:val="32"/>
        </w:rPr>
        <w:t>筆錄影本）之人，僅限於審判中無辯護人之被告，而未及於有辯護人之被告；而得獲知卷證資訊之範圍，僅限卷內筆錄之影本，未及於筆錄以外其他被告被訴</w:t>
      </w:r>
      <w:r w:rsidR="008C0515" w:rsidRPr="00A00C5C">
        <w:rPr>
          <w:rFonts w:ascii="Times New Roman" w:eastAsia="標楷體" w:hAnsi="Times New Roman" w:cs="Times New Roman" w:hint="eastAsia"/>
          <w:color w:val="000000" w:themeColor="text1"/>
          <w:sz w:val="32"/>
          <w:szCs w:val="32"/>
        </w:rPr>
        <w:t>案</w:t>
      </w:r>
      <w:r w:rsidR="008C0515" w:rsidRPr="00A00C5C">
        <w:rPr>
          <w:rFonts w:ascii="Times New Roman" w:eastAsia="標楷體" w:hAnsi="Times New Roman" w:cs="Times New Roman"/>
          <w:color w:val="000000" w:themeColor="text1"/>
          <w:sz w:val="32"/>
          <w:szCs w:val="32"/>
        </w:rPr>
        <w:t>件</w:t>
      </w:r>
      <w:r w:rsidRPr="00A00C5C">
        <w:rPr>
          <w:rFonts w:ascii="Times New Roman" w:eastAsia="標楷體" w:hAnsi="Times New Roman" w:cs="Times New Roman" w:hint="eastAsia"/>
          <w:color w:val="000000" w:themeColor="text1"/>
          <w:sz w:val="32"/>
          <w:szCs w:val="32"/>
        </w:rPr>
        <w:t>之卷宗及證物全部內容；又得獲知卷證資訊之方式，僅預納費用請求付</w:t>
      </w:r>
      <w:r w:rsidRPr="00A00C5C">
        <w:rPr>
          <w:rFonts w:ascii="Times New Roman" w:eastAsia="標楷體" w:hAnsi="Times New Roman" w:cs="Times New Roman" w:hint="eastAsia"/>
          <w:color w:val="000000" w:themeColor="text1"/>
          <w:sz w:val="32"/>
          <w:szCs w:val="32"/>
        </w:rPr>
        <w:lastRenderedPageBreak/>
        <w:t>與筆錄影本一途，未容許被告得以檢閱並抄錄或攝影等</w:t>
      </w:r>
      <w:r w:rsidRPr="00A00C5C">
        <w:rPr>
          <w:rFonts w:ascii="Times New Roman" w:eastAsia="標楷體" w:hAnsi="Times New Roman" w:cs="Times New Roman"/>
          <w:color w:val="000000" w:themeColor="text1"/>
          <w:sz w:val="32"/>
          <w:szCs w:val="32"/>
        </w:rPr>
        <w:t>其他</w:t>
      </w:r>
      <w:r w:rsidRPr="00A00C5C">
        <w:rPr>
          <w:rFonts w:ascii="Times New Roman" w:eastAsia="標楷體" w:hAnsi="Times New Roman" w:cs="Times New Roman" w:hint="eastAsia"/>
          <w:color w:val="000000" w:themeColor="text1"/>
          <w:sz w:val="32"/>
          <w:szCs w:val="32"/>
        </w:rPr>
        <w:t>方式獲知卷證資</w:t>
      </w:r>
      <w:r w:rsidRPr="00A00C5C">
        <w:rPr>
          <w:rFonts w:ascii="Times New Roman" w:eastAsia="標楷體" w:hAnsi="Times New Roman" w:cs="Times New Roman"/>
          <w:color w:val="000000" w:themeColor="text1"/>
          <w:sz w:val="32"/>
          <w:szCs w:val="32"/>
        </w:rPr>
        <w:t>訊</w:t>
      </w:r>
      <w:r w:rsidRPr="00A00C5C">
        <w:rPr>
          <w:rFonts w:ascii="Times New Roman" w:eastAsia="標楷體" w:hAnsi="Times New Roman" w:cs="Times New Roman" w:hint="eastAsia"/>
          <w:color w:val="000000" w:themeColor="text1"/>
          <w:sz w:val="32"/>
          <w:szCs w:val="32"/>
        </w:rPr>
        <w:t>。</w:t>
      </w:r>
      <w:r w:rsidR="000C7FF9" w:rsidRPr="00A00C5C">
        <w:rPr>
          <w:rFonts w:ascii="Times New Roman" w:eastAsia="標楷體" w:hAnsi="Times New Roman" w:cs="Times New Roman" w:hint="eastAsia"/>
          <w:color w:val="000000" w:themeColor="text1"/>
          <w:sz w:val="32"/>
          <w:szCs w:val="32"/>
        </w:rPr>
        <w:t>上開</w:t>
      </w:r>
      <w:r w:rsidRPr="00A00C5C">
        <w:rPr>
          <w:rFonts w:ascii="Times New Roman" w:eastAsia="標楷體" w:hAnsi="Times New Roman" w:cs="Times New Roman" w:hint="eastAsia"/>
          <w:color w:val="000000" w:themeColor="text1"/>
          <w:sz w:val="32"/>
          <w:szCs w:val="32"/>
        </w:rPr>
        <w:t>卷證資訊獲知權之主體、範圍及行</w:t>
      </w:r>
      <w:r w:rsidRPr="00A00C5C">
        <w:rPr>
          <w:rFonts w:ascii="Times New Roman" w:eastAsia="標楷體" w:hAnsi="Times New Roman" w:cs="Times New Roman"/>
          <w:color w:val="000000" w:themeColor="text1"/>
          <w:sz w:val="32"/>
          <w:szCs w:val="32"/>
        </w:rPr>
        <w:t>使</w:t>
      </w:r>
      <w:r w:rsidRPr="00A00C5C">
        <w:rPr>
          <w:rFonts w:ascii="Times New Roman" w:eastAsia="標楷體" w:hAnsi="Times New Roman" w:cs="Times New Roman" w:hint="eastAsia"/>
          <w:color w:val="000000" w:themeColor="text1"/>
          <w:sz w:val="32"/>
          <w:szCs w:val="32"/>
        </w:rPr>
        <w:t>方式，是否符合正當法律程序之要求，須視被告充分防禦之需要、案件涉及之內容、卷證之安全、有無替代程序及司法資源之有效運用等因素，綜合判斷而為認定</w:t>
      </w:r>
      <w:r w:rsidR="0039388F" w:rsidRPr="00A00C5C">
        <w:rPr>
          <w:rFonts w:ascii="Times New Roman" w:eastAsia="標楷體" w:hAnsi="Times New Roman" w:cs="Times New Roman"/>
          <w:color w:val="000000" w:themeColor="text1"/>
          <w:sz w:val="32"/>
          <w:szCs w:val="32"/>
        </w:rPr>
        <w:t>。</w:t>
      </w:r>
    </w:p>
    <w:p w:rsidR="00BA31E8" w:rsidRPr="00A00C5C" w:rsidRDefault="008D0886" w:rsidP="009B6174">
      <w:pPr>
        <w:overflowPunct w:val="0"/>
        <w:spacing w:beforeLines="50" w:before="180" w:afterLines="50" w:after="180" w:line="520" w:lineRule="exact"/>
        <w:ind w:firstLineChars="200" w:firstLine="640"/>
        <w:jc w:val="both"/>
        <w:rPr>
          <w:rFonts w:ascii="Times New Roman" w:eastAsia="標楷體" w:hAnsi="Times New Roman" w:cs="Times New Roman"/>
          <w:color w:val="000000" w:themeColor="text1"/>
          <w:sz w:val="32"/>
          <w:szCs w:val="32"/>
        </w:rPr>
      </w:pPr>
      <w:r w:rsidRPr="00A00C5C">
        <w:rPr>
          <w:rFonts w:ascii="Times New Roman" w:eastAsia="標楷體" w:hAnsi="Times New Roman" w:cs="Times New Roman" w:hint="eastAsia"/>
          <w:color w:val="000000" w:themeColor="text1"/>
          <w:sz w:val="32"/>
          <w:szCs w:val="32"/>
        </w:rPr>
        <w:t>先就卷證資訊獲知權之主體而言，被告之卷證資訊獲知權，屬被告受憲法訴訟權保障應享有之充分防禦權，自得親自直接獲知而毋庸經由他人輾轉獲知卷證資訊，不因其有無辯護人而有異。況被告就其有無涉案及涉案內容相關事實之瞭解，為其所親身經歷，且就卷證資料中何者與被告之有效防禦相關，事涉判斷，容有差異可能，故辯護人之檢閱卷證事實上亦不當然可以完全替代被告之卷證資訊獲知權。系爭規定以「被告有辯護人者，得經由其辯護人閱卷，以利防禦權之行使」為由（立法院公報第</w:t>
      </w:r>
      <w:r w:rsidRPr="00A00C5C">
        <w:rPr>
          <w:rFonts w:ascii="Times New Roman" w:eastAsia="標楷體" w:hAnsi="Times New Roman" w:cs="Times New Roman" w:hint="eastAsia"/>
          <w:color w:val="000000" w:themeColor="text1"/>
          <w:sz w:val="32"/>
          <w:szCs w:val="32"/>
        </w:rPr>
        <w:t>96</w:t>
      </w:r>
      <w:r w:rsidRPr="00A00C5C">
        <w:rPr>
          <w:rFonts w:ascii="Times New Roman" w:eastAsia="標楷體" w:hAnsi="Times New Roman" w:cs="Times New Roman" w:hint="eastAsia"/>
          <w:color w:val="000000" w:themeColor="text1"/>
          <w:sz w:val="32"/>
          <w:szCs w:val="32"/>
        </w:rPr>
        <w:t>卷第</w:t>
      </w:r>
      <w:r w:rsidRPr="00A00C5C">
        <w:rPr>
          <w:rFonts w:ascii="Times New Roman" w:eastAsia="標楷體" w:hAnsi="Times New Roman" w:cs="Times New Roman" w:hint="eastAsia"/>
          <w:color w:val="000000" w:themeColor="text1"/>
          <w:sz w:val="32"/>
          <w:szCs w:val="32"/>
        </w:rPr>
        <w:t>54</w:t>
      </w:r>
      <w:r w:rsidRPr="00A00C5C">
        <w:rPr>
          <w:rFonts w:ascii="Times New Roman" w:eastAsia="標楷體" w:hAnsi="Times New Roman" w:cs="Times New Roman" w:hint="eastAsia"/>
          <w:color w:val="000000" w:themeColor="text1"/>
          <w:sz w:val="32"/>
          <w:szCs w:val="32"/>
        </w:rPr>
        <w:t>期，第</w:t>
      </w:r>
      <w:r w:rsidRPr="00A00C5C">
        <w:rPr>
          <w:rFonts w:ascii="Times New Roman" w:eastAsia="標楷體" w:hAnsi="Times New Roman" w:cs="Times New Roman" w:hint="eastAsia"/>
          <w:color w:val="000000" w:themeColor="text1"/>
          <w:sz w:val="32"/>
          <w:szCs w:val="32"/>
        </w:rPr>
        <w:t>137</w:t>
      </w:r>
      <w:r w:rsidRPr="00A00C5C">
        <w:rPr>
          <w:rFonts w:ascii="Times New Roman" w:eastAsia="標楷體" w:hAnsi="Times New Roman" w:cs="Times New Roman" w:hint="eastAsia"/>
          <w:color w:val="000000" w:themeColor="text1"/>
          <w:sz w:val="32"/>
          <w:szCs w:val="32"/>
        </w:rPr>
        <w:t>頁至第</w:t>
      </w:r>
      <w:r w:rsidRPr="00A00C5C">
        <w:rPr>
          <w:rFonts w:ascii="Times New Roman" w:eastAsia="標楷體" w:hAnsi="Times New Roman" w:cs="Times New Roman" w:hint="eastAsia"/>
          <w:color w:val="000000" w:themeColor="text1"/>
          <w:sz w:val="32"/>
          <w:szCs w:val="32"/>
        </w:rPr>
        <w:t>138</w:t>
      </w:r>
      <w:r w:rsidRPr="00A00C5C">
        <w:rPr>
          <w:rFonts w:ascii="Times New Roman" w:eastAsia="標楷體" w:hAnsi="Times New Roman" w:cs="Times New Roman" w:hint="eastAsia"/>
          <w:color w:val="000000" w:themeColor="text1"/>
          <w:sz w:val="32"/>
          <w:szCs w:val="32"/>
        </w:rPr>
        <w:t>頁參照），而未賦予有辯護人之被告直接獲知卷證資訊之權利，與上開憲法保障訴訟權應遵循正當法律程序原則之意旨有違</w:t>
      </w:r>
      <w:r w:rsidR="003E0457" w:rsidRPr="00A00C5C">
        <w:rPr>
          <w:rFonts w:ascii="Times New Roman" w:eastAsia="標楷體" w:hAnsi="Times New Roman" w:cs="Times New Roman"/>
          <w:color w:val="000000" w:themeColor="text1"/>
          <w:sz w:val="32"/>
          <w:szCs w:val="32"/>
        </w:rPr>
        <w:t>。</w:t>
      </w:r>
    </w:p>
    <w:p w:rsidR="003E0457" w:rsidRPr="00A00C5C" w:rsidRDefault="008D0886" w:rsidP="009B6174">
      <w:pPr>
        <w:overflowPunct w:val="0"/>
        <w:spacing w:beforeLines="50" w:before="180" w:afterLines="50" w:after="180" w:line="520" w:lineRule="exact"/>
        <w:ind w:firstLineChars="200" w:firstLine="640"/>
        <w:jc w:val="both"/>
        <w:rPr>
          <w:rFonts w:ascii="Times New Roman" w:eastAsia="標楷體" w:hAnsi="Times New Roman" w:cs="Times New Roman"/>
          <w:color w:val="000000" w:themeColor="text1"/>
          <w:sz w:val="32"/>
          <w:szCs w:val="32"/>
        </w:rPr>
      </w:pPr>
      <w:r w:rsidRPr="00A00C5C">
        <w:rPr>
          <w:rFonts w:ascii="Times New Roman" w:eastAsia="標楷體" w:hAnsi="Times New Roman" w:cs="Times New Roman" w:hint="eastAsia"/>
          <w:color w:val="000000" w:themeColor="text1"/>
          <w:sz w:val="32"/>
          <w:szCs w:val="32"/>
        </w:rPr>
        <w:t>次就卷證資訊獲</w:t>
      </w:r>
      <w:r w:rsidRPr="00A00C5C">
        <w:rPr>
          <w:rFonts w:ascii="Times New Roman" w:eastAsia="標楷體" w:hAnsi="Times New Roman" w:cs="Times New Roman"/>
          <w:color w:val="000000" w:themeColor="text1"/>
          <w:sz w:val="32"/>
          <w:szCs w:val="32"/>
        </w:rPr>
        <w:t>知</w:t>
      </w:r>
      <w:r w:rsidRPr="00A00C5C">
        <w:rPr>
          <w:rFonts w:ascii="Times New Roman" w:eastAsia="標楷體" w:hAnsi="Times New Roman" w:cs="Times New Roman" w:hint="eastAsia"/>
          <w:color w:val="000000" w:themeColor="text1"/>
          <w:sz w:val="32"/>
          <w:szCs w:val="32"/>
        </w:rPr>
        <w:t>權之範圍而言，刑事案件之卷宗及證物全部內容，係法院據以進行審判程序之重要憑藉。基於憲法正當法律程序原則，自應使被告得以獲知其被訴</w:t>
      </w:r>
      <w:r w:rsidR="00FA1CF4" w:rsidRPr="00A00C5C">
        <w:rPr>
          <w:rFonts w:ascii="Times New Roman" w:eastAsia="標楷體" w:hAnsi="Times New Roman" w:cs="Times New Roman" w:hint="eastAsia"/>
          <w:color w:val="000000" w:themeColor="text1"/>
          <w:sz w:val="32"/>
          <w:szCs w:val="32"/>
        </w:rPr>
        <w:t>案</w:t>
      </w:r>
      <w:r w:rsidR="00FA1CF4" w:rsidRPr="00A00C5C">
        <w:rPr>
          <w:rFonts w:ascii="Times New Roman" w:eastAsia="標楷體" w:hAnsi="Times New Roman" w:cs="Times New Roman"/>
          <w:color w:val="000000" w:themeColor="text1"/>
          <w:sz w:val="32"/>
          <w:szCs w:val="32"/>
        </w:rPr>
        <w:t>件</w:t>
      </w:r>
      <w:r w:rsidRPr="00A00C5C">
        <w:rPr>
          <w:rFonts w:ascii="Times New Roman" w:eastAsia="標楷體" w:hAnsi="Times New Roman" w:cs="Times New Roman" w:hint="eastAsia"/>
          <w:color w:val="000000" w:themeColor="text1"/>
          <w:sz w:val="32"/>
          <w:szCs w:val="32"/>
        </w:rPr>
        <w:t>之卷宗及證物全部內容，俾有效行使防禦權。系爭規定以「筆錄以外之文書等證物，仍應經由法官於審判中依法定調查證據方法，使無辯護人之被告得知其內容」為由（立法院公報第</w:t>
      </w:r>
      <w:r w:rsidRPr="00A00C5C">
        <w:rPr>
          <w:rFonts w:ascii="Times New Roman" w:eastAsia="標楷體" w:hAnsi="Times New Roman" w:cs="Times New Roman" w:hint="eastAsia"/>
          <w:color w:val="000000" w:themeColor="text1"/>
          <w:sz w:val="32"/>
          <w:szCs w:val="32"/>
        </w:rPr>
        <w:t>96</w:t>
      </w:r>
      <w:r w:rsidRPr="00A00C5C">
        <w:rPr>
          <w:rFonts w:ascii="Times New Roman" w:eastAsia="標楷體" w:hAnsi="Times New Roman" w:cs="Times New Roman" w:hint="eastAsia"/>
          <w:color w:val="000000" w:themeColor="text1"/>
          <w:sz w:val="32"/>
          <w:szCs w:val="32"/>
        </w:rPr>
        <w:t>卷第</w:t>
      </w:r>
      <w:r w:rsidRPr="00A00C5C">
        <w:rPr>
          <w:rFonts w:ascii="Times New Roman" w:eastAsia="標楷體" w:hAnsi="Times New Roman" w:cs="Times New Roman" w:hint="eastAsia"/>
          <w:color w:val="000000" w:themeColor="text1"/>
          <w:sz w:val="32"/>
          <w:szCs w:val="32"/>
        </w:rPr>
        <w:t>54</w:t>
      </w:r>
      <w:r w:rsidRPr="00A00C5C">
        <w:rPr>
          <w:rFonts w:ascii="Times New Roman" w:eastAsia="標楷體" w:hAnsi="Times New Roman" w:cs="Times New Roman" w:hint="eastAsia"/>
          <w:color w:val="000000" w:themeColor="text1"/>
          <w:sz w:val="32"/>
          <w:szCs w:val="32"/>
        </w:rPr>
        <w:t>期，第</w:t>
      </w:r>
      <w:r w:rsidRPr="00A00C5C">
        <w:rPr>
          <w:rFonts w:ascii="Times New Roman" w:eastAsia="標楷體" w:hAnsi="Times New Roman" w:cs="Times New Roman" w:hint="eastAsia"/>
          <w:color w:val="000000" w:themeColor="text1"/>
          <w:sz w:val="32"/>
          <w:szCs w:val="32"/>
        </w:rPr>
        <w:t>137</w:t>
      </w:r>
      <w:r w:rsidRPr="00A00C5C">
        <w:rPr>
          <w:rFonts w:ascii="Times New Roman" w:eastAsia="標楷體" w:hAnsi="Times New Roman" w:cs="Times New Roman" w:hint="eastAsia"/>
          <w:color w:val="000000" w:themeColor="text1"/>
          <w:sz w:val="32"/>
          <w:szCs w:val="32"/>
        </w:rPr>
        <w:t>頁至第</w:t>
      </w:r>
      <w:r w:rsidRPr="00A00C5C">
        <w:rPr>
          <w:rFonts w:ascii="Times New Roman" w:eastAsia="標楷體" w:hAnsi="Times New Roman" w:cs="Times New Roman" w:hint="eastAsia"/>
          <w:color w:val="000000" w:themeColor="text1"/>
          <w:sz w:val="32"/>
          <w:szCs w:val="32"/>
        </w:rPr>
        <w:t>138</w:t>
      </w:r>
      <w:r w:rsidRPr="00A00C5C">
        <w:rPr>
          <w:rFonts w:ascii="Times New Roman" w:eastAsia="標楷體" w:hAnsi="Times New Roman" w:cs="Times New Roman" w:hint="eastAsia"/>
          <w:color w:val="000000" w:themeColor="text1"/>
          <w:sz w:val="32"/>
          <w:szCs w:val="32"/>
        </w:rPr>
        <w:t>頁參照），而未使被告得</w:t>
      </w:r>
      <w:r w:rsidRPr="00A00C5C">
        <w:rPr>
          <w:rFonts w:ascii="Times New Roman" w:eastAsia="標楷體" w:hAnsi="Times New Roman" w:cs="Times New Roman"/>
          <w:color w:val="000000" w:themeColor="text1"/>
          <w:sz w:val="32"/>
          <w:szCs w:val="32"/>
        </w:rPr>
        <w:t>適時</w:t>
      </w:r>
      <w:r w:rsidRPr="00A00C5C">
        <w:rPr>
          <w:rFonts w:ascii="Times New Roman" w:eastAsia="標楷體" w:hAnsi="Times New Roman" w:cs="Times New Roman" w:hint="eastAsia"/>
          <w:color w:val="000000" w:themeColor="text1"/>
          <w:sz w:val="32"/>
          <w:szCs w:val="32"/>
        </w:rPr>
        <w:t>獲</w:t>
      </w:r>
      <w:r w:rsidRPr="00A00C5C">
        <w:rPr>
          <w:rFonts w:ascii="Times New Roman" w:eastAsia="標楷體" w:hAnsi="Times New Roman" w:cs="Times New Roman"/>
          <w:color w:val="000000" w:themeColor="text1"/>
          <w:sz w:val="32"/>
          <w:szCs w:val="32"/>
        </w:rPr>
        <w:t>知</w:t>
      </w:r>
      <w:r w:rsidRPr="00A00C5C">
        <w:rPr>
          <w:rFonts w:ascii="Times New Roman" w:eastAsia="標楷體" w:hAnsi="Times New Roman" w:cs="Times New Roman" w:hint="eastAsia"/>
          <w:color w:val="000000" w:themeColor="text1"/>
          <w:sz w:val="32"/>
          <w:szCs w:val="32"/>
        </w:rPr>
        <w:t>卷內筆錄以外之卷宗及證物</w:t>
      </w:r>
      <w:r w:rsidR="00FA1CF4" w:rsidRPr="00A00C5C">
        <w:rPr>
          <w:rFonts w:ascii="Times New Roman" w:eastAsia="標楷體" w:hAnsi="Times New Roman" w:cs="Times New Roman" w:hint="eastAsia"/>
          <w:color w:val="000000" w:themeColor="text1"/>
          <w:sz w:val="32"/>
          <w:szCs w:val="32"/>
        </w:rPr>
        <w:t>全</w:t>
      </w:r>
      <w:r w:rsidR="00FA1CF4" w:rsidRPr="00A00C5C">
        <w:rPr>
          <w:rFonts w:ascii="Times New Roman" w:eastAsia="標楷體" w:hAnsi="Times New Roman" w:cs="Times New Roman"/>
          <w:color w:val="000000" w:themeColor="text1"/>
          <w:sz w:val="32"/>
          <w:szCs w:val="32"/>
        </w:rPr>
        <w:t>部</w:t>
      </w:r>
      <w:r w:rsidRPr="00A00C5C">
        <w:rPr>
          <w:rFonts w:ascii="Times New Roman" w:eastAsia="標楷體" w:hAnsi="Times New Roman" w:cs="Times New Roman"/>
          <w:color w:val="000000" w:themeColor="text1"/>
          <w:sz w:val="32"/>
          <w:szCs w:val="32"/>
        </w:rPr>
        <w:t>內容</w:t>
      </w:r>
      <w:r w:rsidRPr="00A00C5C">
        <w:rPr>
          <w:rFonts w:ascii="Times New Roman" w:eastAsia="標楷體" w:hAnsi="Times New Roman" w:cs="Times New Roman" w:hint="eastAsia"/>
          <w:color w:val="000000" w:themeColor="text1"/>
          <w:sz w:val="32"/>
          <w:szCs w:val="32"/>
        </w:rPr>
        <w:t>，致被告無</w:t>
      </w:r>
      <w:r w:rsidRPr="00A00C5C">
        <w:rPr>
          <w:rFonts w:ascii="Times New Roman" w:eastAsia="標楷體" w:hAnsi="Times New Roman" w:cs="Times New Roman"/>
          <w:color w:val="000000" w:themeColor="text1"/>
          <w:sz w:val="32"/>
          <w:szCs w:val="32"/>
        </w:rPr>
        <w:t>法</w:t>
      </w:r>
      <w:r w:rsidRPr="00A00C5C">
        <w:rPr>
          <w:rFonts w:ascii="Times New Roman" w:eastAsia="標楷體" w:hAnsi="Times New Roman" w:cs="Times New Roman" w:hint="eastAsia"/>
          <w:color w:val="000000" w:themeColor="text1"/>
          <w:sz w:val="32"/>
          <w:szCs w:val="32"/>
        </w:rPr>
        <w:t>於法院調查證據時，對筆錄以外卷宗及證物相關證據資料充分</w:t>
      </w:r>
      <w:r w:rsidRPr="00A00C5C">
        <w:rPr>
          <w:rFonts w:ascii="Times New Roman" w:eastAsia="標楷體" w:hAnsi="Times New Roman" w:cs="Times New Roman" w:hint="eastAsia"/>
          <w:color w:val="000000" w:themeColor="text1"/>
          <w:sz w:val="32"/>
          <w:szCs w:val="32"/>
        </w:rPr>
        <w:lastRenderedPageBreak/>
        <w:t>表示意見，有礙其防禦權之有效行使，與上開憲法保障訴訟權應遵循正當法律程序原則之意旨有違</w:t>
      </w:r>
      <w:r w:rsidR="003E0457" w:rsidRPr="00A00C5C">
        <w:rPr>
          <w:rFonts w:ascii="Times New Roman" w:eastAsia="標楷體" w:hAnsi="Times New Roman" w:cs="Times New Roman"/>
          <w:color w:val="000000" w:themeColor="text1"/>
          <w:sz w:val="32"/>
          <w:szCs w:val="32"/>
        </w:rPr>
        <w:t>。</w:t>
      </w:r>
    </w:p>
    <w:p w:rsidR="009A215F" w:rsidRPr="00A00C5C" w:rsidRDefault="008D0886" w:rsidP="009A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640"/>
        <w:jc w:val="both"/>
        <w:rPr>
          <w:rFonts w:ascii="Times New Roman" w:eastAsia="標楷體" w:hAnsi="Times New Roman" w:cs="Times New Roman"/>
          <w:color w:val="000000" w:themeColor="text1"/>
          <w:sz w:val="32"/>
          <w:szCs w:val="32"/>
        </w:rPr>
      </w:pPr>
      <w:r w:rsidRPr="00A00C5C">
        <w:rPr>
          <w:rFonts w:ascii="Times New Roman" w:eastAsia="標楷體" w:hAnsi="Times New Roman" w:cs="Times New Roman" w:hint="eastAsia"/>
          <w:color w:val="000000" w:themeColor="text1"/>
          <w:sz w:val="32"/>
          <w:szCs w:val="32"/>
        </w:rPr>
        <w:t>末就卷證資訊獲知權之行</w:t>
      </w:r>
      <w:r w:rsidRPr="00A00C5C">
        <w:rPr>
          <w:rFonts w:ascii="Times New Roman" w:eastAsia="標楷體" w:hAnsi="Times New Roman" w:cs="Times New Roman"/>
          <w:color w:val="000000" w:themeColor="text1"/>
          <w:sz w:val="32"/>
          <w:szCs w:val="32"/>
        </w:rPr>
        <w:t>使</w:t>
      </w:r>
      <w:r w:rsidRPr="00A00C5C">
        <w:rPr>
          <w:rFonts w:ascii="Times New Roman" w:eastAsia="標楷體" w:hAnsi="Times New Roman" w:cs="Times New Roman" w:hint="eastAsia"/>
          <w:color w:val="000000" w:themeColor="text1"/>
          <w:sz w:val="32"/>
          <w:szCs w:val="32"/>
        </w:rPr>
        <w:t>方式而言，查</w:t>
      </w:r>
      <w:r w:rsidRPr="00A00C5C">
        <w:rPr>
          <w:rFonts w:ascii="Times New Roman" w:eastAsia="標楷體" w:hAnsi="Times New Roman" w:cs="Times New Roman" w:hint="eastAsia"/>
          <w:color w:val="000000" w:themeColor="text1"/>
          <w:sz w:val="32"/>
          <w:szCs w:val="32"/>
        </w:rPr>
        <w:t>96</w:t>
      </w:r>
      <w:r w:rsidRPr="00A00C5C">
        <w:rPr>
          <w:rFonts w:ascii="Times New Roman" w:eastAsia="標楷體" w:hAnsi="Times New Roman" w:cs="Times New Roman" w:hint="eastAsia"/>
          <w:color w:val="000000" w:themeColor="text1"/>
          <w:sz w:val="32"/>
          <w:szCs w:val="32"/>
        </w:rPr>
        <w:t>年增訂系爭規定時，係以「因被告本身與審判結果有切身利害關係，如逕將全部卷證交由被告任意翻閱，將有特別加強卷證保護作為之勞費，其被告在押者，且將增加提解在押被告到法院閱卷所生戒護人力之沈重負擔，為保障無辯護人之被告防禦權，並兼顧司法資源之有效運用，爰增訂第</w:t>
      </w:r>
      <w:r w:rsidRPr="00A00C5C">
        <w:rPr>
          <w:rFonts w:ascii="Times New Roman" w:eastAsia="標楷體" w:hAnsi="Times New Roman" w:cs="Times New Roman" w:hint="eastAsia"/>
          <w:color w:val="000000" w:themeColor="text1"/>
          <w:sz w:val="32"/>
          <w:szCs w:val="32"/>
        </w:rPr>
        <w:t>2</w:t>
      </w:r>
      <w:r w:rsidRPr="00A00C5C">
        <w:rPr>
          <w:rFonts w:ascii="Times New Roman" w:eastAsia="標楷體" w:hAnsi="Times New Roman" w:cs="Times New Roman" w:hint="eastAsia"/>
          <w:color w:val="000000" w:themeColor="text1"/>
          <w:sz w:val="32"/>
          <w:szCs w:val="32"/>
        </w:rPr>
        <w:t>項前段。」為由</w:t>
      </w:r>
      <w:r w:rsidR="00546887" w:rsidRPr="00A00C5C">
        <w:rPr>
          <w:rFonts w:ascii="Times New Roman" w:eastAsia="標楷體" w:hAnsi="Times New Roman" w:cs="Times New Roman" w:hint="eastAsia"/>
          <w:color w:val="000000" w:themeColor="text1"/>
          <w:sz w:val="32"/>
          <w:szCs w:val="32"/>
        </w:rPr>
        <w:t>（立法院公報第</w:t>
      </w:r>
      <w:r w:rsidR="00546887" w:rsidRPr="00A00C5C">
        <w:rPr>
          <w:rFonts w:ascii="Times New Roman" w:eastAsia="標楷體" w:hAnsi="Times New Roman" w:cs="Times New Roman" w:hint="eastAsia"/>
          <w:color w:val="000000" w:themeColor="text1"/>
          <w:sz w:val="32"/>
          <w:szCs w:val="32"/>
        </w:rPr>
        <w:t>96</w:t>
      </w:r>
      <w:r w:rsidR="00546887" w:rsidRPr="00A00C5C">
        <w:rPr>
          <w:rFonts w:ascii="Times New Roman" w:eastAsia="標楷體" w:hAnsi="Times New Roman" w:cs="Times New Roman" w:hint="eastAsia"/>
          <w:color w:val="000000" w:themeColor="text1"/>
          <w:sz w:val="32"/>
          <w:szCs w:val="32"/>
        </w:rPr>
        <w:t>卷第</w:t>
      </w:r>
      <w:r w:rsidR="00546887" w:rsidRPr="00A00C5C">
        <w:rPr>
          <w:rFonts w:ascii="Times New Roman" w:eastAsia="標楷體" w:hAnsi="Times New Roman" w:cs="Times New Roman" w:hint="eastAsia"/>
          <w:color w:val="000000" w:themeColor="text1"/>
          <w:sz w:val="32"/>
          <w:szCs w:val="32"/>
        </w:rPr>
        <w:t>54</w:t>
      </w:r>
      <w:r w:rsidR="00546887" w:rsidRPr="00A00C5C">
        <w:rPr>
          <w:rFonts w:ascii="Times New Roman" w:eastAsia="標楷體" w:hAnsi="Times New Roman" w:cs="Times New Roman" w:hint="eastAsia"/>
          <w:color w:val="000000" w:themeColor="text1"/>
          <w:sz w:val="32"/>
          <w:szCs w:val="32"/>
        </w:rPr>
        <w:t>期，第</w:t>
      </w:r>
      <w:r w:rsidR="00546887" w:rsidRPr="00A00C5C">
        <w:rPr>
          <w:rFonts w:ascii="Times New Roman" w:eastAsia="標楷體" w:hAnsi="Times New Roman" w:cs="Times New Roman" w:hint="eastAsia"/>
          <w:color w:val="000000" w:themeColor="text1"/>
          <w:sz w:val="32"/>
          <w:szCs w:val="32"/>
        </w:rPr>
        <w:t>137</w:t>
      </w:r>
      <w:r w:rsidR="00546887" w:rsidRPr="00A00C5C">
        <w:rPr>
          <w:rFonts w:ascii="Times New Roman" w:eastAsia="標楷體" w:hAnsi="Times New Roman" w:cs="Times New Roman" w:hint="eastAsia"/>
          <w:color w:val="000000" w:themeColor="text1"/>
          <w:sz w:val="32"/>
          <w:szCs w:val="32"/>
        </w:rPr>
        <w:t>頁至第</w:t>
      </w:r>
      <w:r w:rsidR="00546887" w:rsidRPr="00A00C5C">
        <w:rPr>
          <w:rFonts w:ascii="Times New Roman" w:eastAsia="標楷體" w:hAnsi="Times New Roman" w:cs="Times New Roman" w:hint="eastAsia"/>
          <w:color w:val="000000" w:themeColor="text1"/>
          <w:sz w:val="32"/>
          <w:szCs w:val="32"/>
        </w:rPr>
        <w:t>138</w:t>
      </w:r>
      <w:r w:rsidR="00546887" w:rsidRPr="00A00C5C">
        <w:rPr>
          <w:rFonts w:ascii="Times New Roman" w:eastAsia="標楷體" w:hAnsi="Times New Roman" w:cs="Times New Roman" w:hint="eastAsia"/>
          <w:color w:val="000000" w:themeColor="text1"/>
          <w:sz w:val="32"/>
          <w:szCs w:val="32"/>
        </w:rPr>
        <w:t>頁參照）</w:t>
      </w:r>
      <w:r w:rsidRPr="00A00C5C">
        <w:rPr>
          <w:rFonts w:ascii="Times New Roman" w:eastAsia="標楷體" w:hAnsi="Times New Roman" w:cs="Times New Roman" w:hint="eastAsia"/>
          <w:color w:val="000000" w:themeColor="text1"/>
          <w:sz w:val="32"/>
          <w:szCs w:val="32"/>
        </w:rPr>
        <w:t>，未賦</w:t>
      </w:r>
      <w:r w:rsidRPr="00A00C5C">
        <w:rPr>
          <w:rFonts w:ascii="Times New Roman" w:eastAsia="標楷體" w:hAnsi="Times New Roman" w:cs="Times New Roman"/>
          <w:color w:val="000000" w:themeColor="text1"/>
          <w:sz w:val="32"/>
          <w:szCs w:val="32"/>
        </w:rPr>
        <w:t>予</w:t>
      </w:r>
      <w:r w:rsidRPr="00A00C5C">
        <w:rPr>
          <w:rFonts w:ascii="Times New Roman" w:eastAsia="標楷體" w:hAnsi="Times New Roman" w:cs="Times New Roman" w:hint="eastAsia"/>
          <w:color w:val="000000" w:themeColor="text1"/>
          <w:sz w:val="32"/>
          <w:szCs w:val="32"/>
        </w:rPr>
        <w:t>被告親自檢閱卷證原本之</w:t>
      </w:r>
      <w:r w:rsidRPr="00A00C5C">
        <w:rPr>
          <w:rFonts w:ascii="Times New Roman" w:eastAsia="標楷體" w:hAnsi="Times New Roman" w:cs="Times New Roman"/>
          <w:color w:val="000000" w:themeColor="text1"/>
          <w:sz w:val="32"/>
          <w:szCs w:val="32"/>
        </w:rPr>
        <w:t>權</w:t>
      </w:r>
      <w:r w:rsidR="00E108C7" w:rsidRPr="00A00C5C">
        <w:rPr>
          <w:rFonts w:ascii="Times New Roman" w:eastAsia="標楷體" w:hAnsi="Times New Roman" w:cs="Times New Roman" w:hint="eastAsia"/>
          <w:color w:val="000000" w:themeColor="text1"/>
          <w:sz w:val="32"/>
          <w:szCs w:val="32"/>
        </w:rPr>
        <w:t>利</w:t>
      </w:r>
      <w:r w:rsidRPr="00A00C5C">
        <w:rPr>
          <w:rFonts w:ascii="Times New Roman" w:eastAsia="標楷體" w:hAnsi="Times New Roman" w:cs="Times New Roman" w:hint="eastAsia"/>
          <w:color w:val="000000" w:themeColor="text1"/>
          <w:sz w:val="32"/>
          <w:szCs w:val="32"/>
        </w:rPr>
        <w:t>，其考量尚</w:t>
      </w:r>
      <w:r w:rsidRPr="00A00C5C">
        <w:rPr>
          <w:rFonts w:ascii="Times New Roman" w:eastAsia="標楷體" w:hAnsi="Times New Roman" w:cs="Times New Roman"/>
          <w:color w:val="000000" w:themeColor="text1"/>
          <w:sz w:val="32"/>
          <w:szCs w:val="32"/>
        </w:rPr>
        <w:t>屬</w:t>
      </w:r>
      <w:r w:rsidRPr="00A00C5C">
        <w:rPr>
          <w:rFonts w:ascii="Times New Roman" w:eastAsia="標楷體" w:hAnsi="Times New Roman" w:cs="Times New Roman" w:hint="eastAsia"/>
          <w:color w:val="000000" w:themeColor="text1"/>
          <w:sz w:val="32"/>
          <w:szCs w:val="32"/>
        </w:rPr>
        <w:t>有據。惟時至今日複製技術、設備已然普及，系爭規定所稱之影本，在解釋上應及於複本（如翻拍證物之照片、複製電磁紀錄及電子卷證等）。基於影本與原本</w:t>
      </w:r>
      <w:r w:rsidR="00546887" w:rsidRPr="00A00C5C">
        <w:rPr>
          <w:rFonts w:ascii="Times New Roman" w:eastAsia="標楷體" w:hAnsi="Times New Roman" w:cs="Times New Roman" w:hint="eastAsia"/>
          <w:color w:val="000000" w:themeColor="text1"/>
          <w:sz w:val="32"/>
          <w:szCs w:val="32"/>
        </w:rPr>
        <w:t>通</w:t>
      </w:r>
      <w:r w:rsidR="00546887" w:rsidRPr="00A00C5C">
        <w:rPr>
          <w:rFonts w:ascii="Times New Roman" w:eastAsia="標楷體" w:hAnsi="Times New Roman" w:cs="Times New Roman"/>
          <w:color w:val="000000" w:themeColor="text1"/>
          <w:sz w:val="32"/>
          <w:szCs w:val="32"/>
        </w:rPr>
        <w:t>常</w:t>
      </w:r>
      <w:r w:rsidRPr="00A00C5C">
        <w:rPr>
          <w:rFonts w:ascii="Times New Roman" w:eastAsia="標楷體" w:hAnsi="Times New Roman" w:cs="Times New Roman" w:hint="eastAsia"/>
          <w:color w:val="000000" w:themeColor="text1"/>
          <w:sz w:val="32"/>
          <w:szCs w:val="32"/>
        </w:rPr>
        <w:t>有同一之效用，故系爭</w:t>
      </w:r>
      <w:r w:rsidRPr="00A00C5C">
        <w:rPr>
          <w:rFonts w:ascii="Times New Roman" w:eastAsia="標楷體" w:hAnsi="Times New Roman" w:cs="Times New Roman"/>
          <w:color w:val="000000" w:themeColor="text1"/>
          <w:sz w:val="32"/>
          <w:szCs w:val="32"/>
        </w:rPr>
        <w:t>規定所定</w:t>
      </w:r>
      <w:r w:rsidRPr="00A00C5C">
        <w:rPr>
          <w:rFonts w:ascii="Times New Roman" w:eastAsia="標楷體" w:hAnsi="Times New Roman" w:cs="Times New Roman" w:hint="eastAsia"/>
          <w:color w:val="000000" w:themeColor="text1"/>
          <w:sz w:val="32"/>
          <w:szCs w:val="32"/>
        </w:rPr>
        <w:t>預</w:t>
      </w:r>
      <w:r w:rsidRPr="00A00C5C">
        <w:rPr>
          <w:rFonts w:ascii="Times New Roman" w:eastAsia="標楷體" w:hAnsi="Times New Roman" w:cs="Times New Roman"/>
          <w:color w:val="000000" w:themeColor="text1"/>
          <w:sz w:val="32"/>
          <w:szCs w:val="32"/>
        </w:rPr>
        <w:t>納費用</w:t>
      </w:r>
      <w:r w:rsidRPr="00A00C5C">
        <w:rPr>
          <w:rFonts w:ascii="Times New Roman" w:eastAsia="標楷體" w:hAnsi="Times New Roman" w:cs="Times New Roman" w:hint="eastAsia"/>
          <w:color w:val="000000" w:themeColor="text1"/>
          <w:sz w:val="32"/>
          <w:szCs w:val="32"/>
        </w:rPr>
        <w:t>付</w:t>
      </w:r>
      <w:r w:rsidRPr="00A00C5C">
        <w:rPr>
          <w:rFonts w:ascii="Times New Roman" w:eastAsia="標楷體" w:hAnsi="Times New Roman" w:cs="Times New Roman"/>
          <w:color w:val="000000" w:themeColor="text1"/>
          <w:sz w:val="32"/>
          <w:szCs w:val="32"/>
        </w:rPr>
        <w:t>與影本</w:t>
      </w:r>
      <w:r w:rsidRPr="00A00C5C">
        <w:rPr>
          <w:rFonts w:ascii="Times New Roman" w:eastAsia="標楷體" w:hAnsi="Times New Roman" w:cs="Times New Roman" w:hint="eastAsia"/>
          <w:color w:val="000000" w:themeColor="text1"/>
          <w:sz w:val="32"/>
          <w:szCs w:val="32"/>
        </w:rPr>
        <w:t>（解</w:t>
      </w:r>
      <w:r w:rsidRPr="00A00C5C">
        <w:rPr>
          <w:rFonts w:ascii="Times New Roman" w:eastAsia="標楷體" w:hAnsi="Times New Roman" w:cs="Times New Roman"/>
          <w:color w:val="000000" w:themeColor="text1"/>
          <w:sz w:val="32"/>
          <w:szCs w:val="32"/>
        </w:rPr>
        <w:t>釋上及於複本）之</w:t>
      </w:r>
      <w:r w:rsidRPr="00A00C5C">
        <w:rPr>
          <w:rFonts w:ascii="Times New Roman" w:eastAsia="標楷體" w:hAnsi="Times New Roman" w:cs="Times New Roman" w:hint="eastAsia"/>
          <w:color w:val="000000" w:themeColor="text1"/>
          <w:sz w:val="32"/>
          <w:szCs w:val="32"/>
        </w:rPr>
        <w:t>卷</w:t>
      </w:r>
      <w:r w:rsidRPr="00A00C5C">
        <w:rPr>
          <w:rFonts w:ascii="Times New Roman" w:eastAsia="標楷體" w:hAnsi="Times New Roman" w:cs="Times New Roman"/>
          <w:color w:val="000000" w:themeColor="text1"/>
          <w:sz w:val="32"/>
          <w:szCs w:val="32"/>
        </w:rPr>
        <w:t>證資訊獲知方式，</w:t>
      </w:r>
      <w:r w:rsidRPr="00A00C5C">
        <w:rPr>
          <w:rFonts w:ascii="Times New Roman" w:eastAsia="標楷體" w:hAnsi="Times New Roman" w:cs="Times New Roman" w:hint="eastAsia"/>
          <w:color w:val="000000" w:themeColor="text1"/>
          <w:sz w:val="32"/>
          <w:szCs w:val="32"/>
        </w:rPr>
        <w:t>無礙被告防禦權之有</w:t>
      </w:r>
      <w:r w:rsidRPr="00A00C5C">
        <w:rPr>
          <w:rFonts w:ascii="Times New Roman" w:eastAsia="標楷體" w:hAnsi="Times New Roman" w:cs="Times New Roman"/>
          <w:color w:val="000000" w:themeColor="text1"/>
          <w:sz w:val="32"/>
          <w:szCs w:val="32"/>
        </w:rPr>
        <w:t>效</w:t>
      </w:r>
      <w:r w:rsidRPr="00A00C5C">
        <w:rPr>
          <w:rFonts w:ascii="Times New Roman" w:eastAsia="標楷體" w:hAnsi="Times New Roman" w:cs="Times New Roman" w:hint="eastAsia"/>
          <w:color w:val="000000" w:themeColor="text1"/>
          <w:sz w:val="32"/>
          <w:szCs w:val="32"/>
        </w:rPr>
        <w:t>行使，與憲法保障正當法律程序原則之意旨尚無牴觸。至被告如有非檢閱卷證不足以有</w:t>
      </w:r>
      <w:r w:rsidRPr="00A00C5C">
        <w:rPr>
          <w:rFonts w:ascii="Times New Roman" w:eastAsia="標楷體" w:hAnsi="Times New Roman" w:cs="Times New Roman"/>
          <w:color w:val="000000" w:themeColor="text1"/>
          <w:sz w:val="32"/>
          <w:szCs w:val="32"/>
        </w:rPr>
        <w:t>效</w:t>
      </w:r>
      <w:r w:rsidRPr="00A00C5C">
        <w:rPr>
          <w:rFonts w:ascii="Times New Roman" w:eastAsia="標楷體" w:hAnsi="Times New Roman" w:cs="Times New Roman" w:hint="eastAsia"/>
          <w:color w:val="000000" w:themeColor="text1"/>
          <w:sz w:val="32"/>
          <w:szCs w:val="32"/>
        </w:rPr>
        <w:t>行使防禦權之情事時，並得經審判長或受命法官許可後，在確保卷證安全之前提下，適時檢閱之，以符憲法保障被告訴訟權之意旨，</w:t>
      </w:r>
      <w:r w:rsidRPr="00A00C5C">
        <w:rPr>
          <w:rFonts w:ascii="Times New Roman" w:eastAsia="標楷體" w:hAnsi="Times New Roman" w:cs="Times New Roman"/>
          <w:color w:val="000000" w:themeColor="text1"/>
          <w:sz w:val="32"/>
          <w:szCs w:val="32"/>
        </w:rPr>
        <w:t>自屬當然</w:t>
      </w:r>
      <w:r w:rsidR="009A215F" w:rsidRPr="00A00C5C">
        <w:rPr>
          <w:rFonts w:ascii="Times New Roman" w:eastAsia="標楷體" w:hAnsi="Times New Roman" w:cs="Times New Roman"/>
          <w:color w:val="000000" w:themeColor="text1"/>
          <w:sz w:val="32"/>
          <w:szCs w:val="32"/>
        </w:rPr>
        <w:t>。</w:t>
      </w:r>
    </w:p>
    <w:p w:rsidR="00112B94" w:rsidRDefault="008D0886" w:rsidP="0011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640"/>
        <w:jc w:val="both"/>
        <w:rPr>
          <w:rFonts w:ascii="Times New Roman" w:eastAsia="標楷體" w:hAnsi="Times New Roman" w:cs="Times New Roman"/>
          <w:color w:val="000000" w:themeColor="text1"/>
          <w:sz w:val="32"/>
          <w:szCs w:val="32"/>
        </w:rPr>
      </w:pPr>
      <w:r w:rsidRPr="00A00C5C">
        <w:rPr>
          <w:rFonts w:ascii="Times New Roman" w:eastAsia="標楷體" w:hAnsi="Times New Roman" w:cs="Times New Roman" w:hint="eastAsia"/>
          <w:color w:val="000000" w:themeColor="text1"/>
          <w:sz w:val="32"/>
          <w:szCs w:val="32"/>
        </w:rPr>
        <w:t>綜上，除有刑事訴訟法第</w:t>
      </w:r>
      <w:r w:rsidRPr="00A00C5C">
        <w:rPr>
          <w:rFonts w:ascii="Times New Roman" w:eastAsia="標楷體" w:hAnsi="Times New Roman" w:cs="Times New Roman" w:hint="eastAsia"/>
          <w:color w:val="000000" w:themeColor="text1"/>
          <w:sz w:val="32"/>
          <w:szCs w:val="32"/>
        </w:rPr>
        <w:t>33</w:t>
      </w:r>
      <w:r w:rsidRPr="00A00C5C">
        <w:rPr>
          <w:rFonts w:ascii="Times New Roman" w:eastAsia="標楷體" w:hAnsi="Times New Roman" w:cs="Times New Roman" w:hint="eastAsia"/>
          <w:color w:val="000000" w:themeColor="text1"/>
          <w:sz w:val="32"/>
          <w:szCs w:val="32"/>
        </w:rPr>
        <w:t>條第</w:t>
      </w:r>
      <w:r w:rsidRPr="00A00C5C">
        <w:rPr>
          <w:rFonts w:ascii="Times New Roman" w:eastAsia="標楷體" w:hAnsi="Times New Roman" w:cs="Times New Roman" w:hint="eastAsia"/>
          <w:color w:val="000000" w:themeColor="text1"/>
          <w:sz w:val="32"/>
          <w:szCs w:val="32"/>
        </w:rPr>
        <w:t>2</w:t>
      </w:r>
      <w:r w:rsidRPr="00A00C5C">
        <w:rPr>
          <w:rFonts w:ascii="Times New Roman" w:eastAsia="標楷體" w:hAnsi="Times New Roman" w:cs="Times New Roman" w:hint="eastAsia"/>
          <w:color w:val="000000" w:themeColor="text1"/>
          <w:sz w:val="32"/>
          <w:szCs w:val="32"/>
        </w:rPr>
        <w:t>項但書規定所示得限制之情形外，系爭規定未賦予有辯護人之被告直接獲知卷證資訊之權利，且未賦予被告得請求付與卷內筆錄以外之卷宗及證物</w:t>
      </w:r>
      <w:r w:rsidR="00555A28" w:rsidRPr="00A00C5C">
        <w:rPr>
          <w:rFonts w:ascii="Times New Roman" w:eastAsia="標楷體" w:hAnsi="Times New Roman" w:cs="Times New Roman" w:hint="eastAsia"/>
          <w:color w:val="000000" w:themeColor="text1"/>
          <w:sz w:val="32"/>
          <w:szCs w:val="32"/>
        </w:rPr>
        <w:t>影</w:t>
      </w:r>
      <w:r w:rsidRPr="00A00C5C">
        <w:rPr>
          <w:rFonts w:ascii="Times New Roman" w:eastAsia="標楷體" w:hAnsi="Times New Roman" w:cs="Times New Roman" w:hint="eastAsia"/>
          <w:color w:val="000000" w:themeColor="text1"/>
          <w:sz w:val="32"/>
          <w:szCs w:val="32"/>
        </w:rPr>
        <w:t>本之權利，妨</w:t>
      </w:r>
      <w:r w:rsidRPr="00A00C5C">
        <w:rPr>
          <w:rFonts w:ascii="Times New Roman" w:eastAsia="標楷體" w:hAnsi="Times New Roman" w:cs="Times New Roman"/>
          <w:color w:val="000000" w:themeColor="text1"/>
          <w:sz w:val="32"/>
          <w:szCs w:val="32"/>
        </w:rPr>
        <w:t>害被告</w:t>
      </w:r>
      <w:r w:rsidRPr="00A00C5C">
        <w:rPr>
          <w:rFonts w:ascii="Times New Roman" w:eastAsia="標楷體" w:hAnsi="Times New Roman" w:cs="Times New Roman" w:hint="eastAsia"/>
          <w:color w:val="000000" w:themeColor="text1"/>
          <w:sz w:val="32"/>
          <w:szCs w:val="32"/>
        </w:rPr>
        <w:t>防</w:t>
      </w:r>
      <w:r w:rsidRPr="00A00C5C">
        <w:rPr>
          <w:rFonts w:ascii="Times New Roman" w:eastAsia="標楷體" w:hAnsi="Times New Roman" w:cs="Times New Roman"/>
          <w:color w:val="000000" w:themeColor="text1"/>
          <w:sz w:val="32"/>
          <w:szCs w:val="32"/>
        </w:rPr>
        <w:t>禦權之有效行使</w:t>
      </w:r>
      <w:r w:rsidRPr="00A00C5C">
        <w:rPr>
          <w:rFonts w:ascii="Times New Roman" w:eastAsia="標楷體" w:hAnsi="Times New Roman" w:cs="Times New Roman" w:hint="eastAsia"/>
          <w:color w:val="000000" w:themeColor="text1"/>
          <w:sz w:val="32"/>
          <w:szCs w:val="32"/>
        </w:rPr>
        <w:t>，於此範圍內，與憲法第</w:t>
      </w:r>
      <w:r w:rsidRPr="00A00C5C">
        <w:rPr>
          <w:rFonts w:ascii="Times New Roman" w:eastAsia="標楷體" w:hAnsi="Times New Roman" w:cs="Times New Roman" w:hint="eastAsia"/>
          <w:color w:val="000000" w:themeColor="text1"/>
          <w:sz w:val="32"/>
          <w:szCs w:val="32"/>
        </w:rPr>
        <w:t>16</w:t>
      </w:r>
      <w:r w:rsidRPr="00A00C5C">
        <w:rPr>
          <w:rFonts w:ascii="Times New Roman" w:eastAsia="標楷體" w:hAnsi="Times New Roman" w:cs="Times New Roman" w:hint="eastAsia"/>
          <w:color w:val="000000" w:themeColor="text1"/>
          <w:sz w:val="32"/>
          <w:szCs w:val="32"/>
        </w:rPr>
        <w:t>條保障訴訟權之正當法律程序原則意旨不符。有關機關應於本解釋公布之日起</w:t>
      </w:r>
      <w:r w:rsidRPr="00A00C5C">
        <w:rPr>
          <w:rFonts w:ascii="Times New Roman" w:eastAsia="標楷體" w:hAnsi="Times New Roman" w:cs="Times New Roman" w:hint="eastAsia"/>
          <w:color w:val="000000" w:themeColor="text1"/>
          <w:sz w:val="32"/>
          <w:szCs w:val="32"/>
        </w:rPr>
        <w:t>1</w:t>
      </w:r>
      <w:r w:rsidRPr="00A00C5C">
        <w:rPr>
          <w:rFonts w:ascii="Times New Roman" w:eastAsia="標楷體" w:hAnsi="Times New Roman" w:cs="Times New Roman" w:hint="eastAsia"/>
          <w:color w:val="000000" w:themeColor="text1"/>
          <w:sz w:val="32"/>
          <w:szCs w:val="32"/>
        </w:rPr>
        <w:t>年內，依本解釋意旨妥為修正。逾期未完成修正者，法院應依審判中被告（不論</w:t>
      </w:r>
      <w:r w:rsidRPr="00A00C5C">
        <w:rPr>
          <w:rFonts w:ascii="Times New Roman" w:eastAsia="標楷體" w:hAnsi="Times New Roman" w:cs="Times New Roman" w:hint="eastAsia"/>
          <w:color w:val="000000" w:themeColor="text1"/>
          <w:sz w:val="32"/>
          <w:szCs w:val="32"/>
        </w:rPr>
        <w:lastRenderedPageBreak/>
        <w:t>有無辯護人）請</w:t>
      </w:r>
      <w:r w:rsidRPr="00A00C5C">
        <w:rPr>
          <w:rFonts w:ascii="Times New Roman" w:eastAsia="標楷體" w:hAnsi="Times New Roman" w:cs="Times New Roman"/>
          <w:color w:val="000000" w:themeColor="text1"/>
          <w:sz w:val="32"/>
          <w:szCs w:val="32"/>
        </w:rPr>
        <w:t>求</w:t>
      </w:r>
      <w:r w:rsidRPr="00A00C5C">
        <w:rPr>
          <w:rFonts w:ascii="Times New Roman" w:eastAsia="標楷體" w:hAnsi="Times New Roman" w:cs="Times New Roman" w:hint="eastAsia"/>
          <w:color w:val="000000" w:themeColor="text1"/>
          <w:sz w:val="32"/>
          <w:szCs w:val="32"/>
        </w:rPr>
        <w:t>，於其預納費用後，付與全</w:t>
      </w:r>
      <w:r w:rsidRPr="00A00C5C">
        <w:rPr>
          <w:rFonts w:ascii="Times New Roman" w:eastAsia="標楷體" w:hAnsi="Times New Roman" w:cs="Times New Roman"/>
          <w:color w:val="000000" w:themeColor="text1"/>
          <w:sz w:val="32"/>
          <w:szCs w:val="32"/>
        </w:rPr>
        <w:t>部</w:t>
      </w:r>
      <w:r w:rsidRPr="00A00C5C">
        <w:rPr>
          <w:rFonts w:ascii="Times New Roman" w:eastAsia="標楷體" w:hAnsi="Times New Roman" w:cs="Times New Roman" w:hint="eastAsia"/>
          <w:color w:val="000000" w:themeColor="text1"/>
          <w:sz w:val="32"/>
          <w:szCs w:val="32"/>
        </w:rPr>
        <w:t>卷宗及證物之</w:t>
      </w:r>
      <w:r w:rsidR="00555A28" w:rsidRPr="00A00C5C">
        <w:rPr>
          <w:rFonts w:ascii="Times New Roman" w:eastAsia="標楷體" w:hAnsi="Times New Roman" w:cs="Times New Roman" w:hint="eastAsia"/>
          <w:color w:val="000000" w:themeColor="text1"/>
          <w:sz w:val="32"/>
          <w:szCs w:val="32"/>
        </w:rPr>
        <w:t>影</w:t>
      </w:r>
      <w:r w:rsidRPr="00A00C5C">
        <w:rPr>
          <w:rFonts w:ascii="Times New Roman" w:eastAsia="標楷體" w:hAnsi="Times New Roman" w:cs="Times New Roman" w:hint="eastAsia"/>
          <w:color w:val="000000" w:themeColor="text1"/>
          <w:sz w:val="32"/>
          <w:szCs w:val="32"/>
        </w:rPr>
        <w:t>本</w:t>
      </w:r>
      <w:r w:rsidR="009A215F" w:rsidRPr="00A00C5C">
        <w:rPr>
          <w:rFonts w:ascii="Times New Roman" w:eastAsia="標楷體" w:hAnsi="Times New Roman" w:cs="Times New Roman" w:hint="eastAsia"/>
          <w:color w:val="000000" w:themeColor="text1"/>
          <w:sz w:val="32"/>
          <w:szCs w:val="32"/>
        </w:rPr>
        <w:t>。</w:t>
      </w:r>
    </w:p>
    <w:p w:rsidR="00896B31" w:rsidRPr="00A00C5C" w:rsidRDefault="00D32B0F" w:rsidP="0011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640"/>
        <w:jc w:val="both"/>
        <w:rPr>
          <w:rFonts w:ascii="Times New Roman" w:eastAsia="標楷體" w:hAnsi="Times New Roman" w:cs="Times New Roman"/>
          <w:color w:val="000000" w:themeColor="text1"/>
          <w:sz w:val="32"/>
          <w:szCs w:val="32"/>
        </w:rPr>
      </w:pPr>
      <w:r w:rsidRPr="00A00C5C">
        <w:rPr>
          <w:rFonts w:ascii="Times New Roman" w:eastAsia="標楷體" w:hAnsi="Times New Roman" w:cs="Times New Roman"/>
          <w:color w:val="000000" w:themeColor="text1"/>
          <w:sz w:val="32"/>
          <w:szCs w:val="32"/>
        </w:rPr>
        <w:t>聲請人</w:t>
      </w:r>
      <w:r w:rsidRPr="00A00C5C">
        <w:rPr>
          <w:rFonts w:ascii="Times New Roman" w:eastAsia="標楷體" w:hAnsi="Times New Roman" w:cs="Times New Roman" w:hint="eastAsia"/>
          <w:color w:val="000000" w:themeColor="text1"/>
          <w:sz w:val="32"/>
          <w:szCs w:val="32"/>
        </w:rPr>
        <w:t>二另</w:t>
      </w:r>
      <w:r w:rsidRPr="00A00C5C">
        <w:rPr>
          <w:rFonts w:ascii="Times New Roman" w:eastAsia="標楷體" w:hAnsi="Times New Roman" w:cs="Times New Roman"/>
          <w:color w:val="000000" w:themeColor="text1"/>
          <w:sz w:val="32"/>
          <w:szCs w:val="32"/>
        </w:rPr>
        <w:t>指摘刑事訴訟法第</w:t>
      </w:r>
      <w:r w:rsidRPr="00A00C5C">
        <w:rPr>
          <w:rFonts w:ascii="Times New Roman" w:eastAsia="標楷體" w:hAnsi="Times New Roman" w:cs="Times New Roman"/>
          <w:color w:val="000000" w:themeColor="text1"/>
          <w:sz w:val="32"/>
          <w:szCs w:val="32"/>
        </w:rPr>
        <w:t>27</w:t>
      </w:r>
      <w:r w:rsidRPr="00A00C5C">
        <w:rPr>
          <w:rFonts w:ascii="Times New Roman" w:eastAsia="標楷體" w:hAnsi="Times New Roman" w:cs="Times New Roman"/>
          <w:color w:val="000000" w:themeColor="text1"/>
          <w:sz w:val="32"/>
          <w:szCs w:val="32"/>
        </w:rPr>
        <w:t>條第</w:t>
      </w:r>
      <w:r w:rsidRPr="00A00C5C">
        <w:rPr>
          <w:rFonts w:ascii="Times New Roman" w:eastAsia="標楷體" w:hAnsi="Times New Roman" w:cs="Times New Roman"/>
          <w:color w:val="000000" w:themeColor="text1"/>
          <w:sz w:val="32"/>
          <w:szCs w:val="32"/>
        </w:rPr>
        <w:t>1</w:t>
      </w:r>
      <w:r w:rsidRPr="00A00C5C">
        <w:rPr>
          <w:rFonts w:ascii="Times New Roman" w:eastAsia="標楷體" w:hAnsi="Times New Roman" w:cs="Times New Roman"/>
          <w:color w:val="000000" w:themeColor="text1"/>
          <w:sz w:val="32"/>
          <w:szCs w:val="32"/>
        </w:rPr>
        <w:t>項及第</w:t>
      </w:r>
      <w:r w:rsidRPr="00A00C5C">
        <w:rPr>
          <w:rFonts w:ascii="Times New Roman" w:eastAsia="標楷體" w:hAnsi="Times New Roman" w:cs="Times New Roman"/>
          <w:color w:val="000000" w:themeColor="text1"/>
          <w:sz w:val="32"/>
          <w:szCs w:val="32"/>
        </w:rPr>
        <w:t>2</w:t>
      </w:r>
      <w:r w:rsidRPr="00A00C5C">
        <w:rPr>
          <w:rFonts w:ascii="Times New Roman" w:eastAsia="標楷體" w:hAnsi="Times New Roman" w:cs="Times New Roman"/>
          <w:color w:val="000000" w:themeColor="text1"/>
          <w:sz w:val="32"/>
          <w:szCs w:val="32"/>
        </w:rPr>
        <w:t>項、第</w:t>
      </w:r>
      <w:r w:rsidRPr="00A00C5C">
        <w:rPr>
          <w:rFonts w:ascii="Times New Roman" w:eastAsia="標楷體" w:hAnsi="Times New Roman" w:cs="Times New Roman"/>
          <w:color w:val="000000" w:themeColor="text1"/>
          <w:sz w:val="32"/>
          <w:szCs w:val="32"/>
        </w:rPr>
        <w:t>29</w:t>
      </w:r>
      <w:r w:rsidRPr="00A00C5C">
        <w:rPr>
          <w:rFonts w:ascii="Times New Roman" w:eastAsia="標楷體" w:hAnsi="Times New Roman" w:cs="Times New Roman"/>
          <w:color w:val="000000" w:themeColor="text1"/>
          <w:sz w:val="32"/>
          <w:szCs w:val="32"/>
        </w:rPr>
        <w:t>條、第</w:t>
      </w:r>
      <w:r w:rsidRPr="00A00C5C">
        <w:rPr>
          <w:rFonts w:ascii="Times New Roman" w:eastAsia="標楷體" w:hAnsi="Times New Roman" w:cs="Times New Roman"/>
          <w:color w:val="000000" w:themeColor="text1"/>
          <w:sz w:val="32"/>
          <w:szCs w:val="32"/>
        </w:rPr>
        <w:t>30</w:t>
      </w:r>
      <w:r w:rsidRPr="00A00C5C">
        <w:rPr>
          <w:rFonts w:ascii="Times New Roman" w:eastAsia="標楷體" w:hAnsi="Times New Roman" w:cs="Times New Roman"/>
          <w:color w:val="000000" w:themeColor="text1"/>
          <w:sz w:val="32"/>
          <w:szCs w:val="32"/>
        </w:rPr>
        <w:t>條、第</w:t>
      </w:r>
      <w:r w:rsidRPr="00A00C5C">
        <w:rPr>
          <w:rFonts w:ascii="Times New Roman" w:eastAsia="標楷體" w:hAnsi="Times New Roman" w:cs="Times New Roman"/>
          <w:color w:val="000000" w:themeColor="text1"/>
          <w:sz w:val="32"/>
          <w:szCs w:val="32"/>
        </w:rPr>
        <w:t>31</w:t>
      </w:r>
      <w:r w:rsidRPr="00A00C5C">
        <w:rPr>
          <w:rFonts w:ascii="Times New Roman" w:eastAsia="標楷體" w:hAnsi="Times New Roman" w:cs="Times New Roman"/>
          <w:color w:val="000000" w:themeColor="text1"/>
          <w:sz w:val="32"/>
          <w:szCs w:val="32"/>
        </w:rPr>
        <w:t>條第</w:t>
      </w:r>
      <w:r w:rsidRPr="00A00C5C">
        <w:rPr>
          <w:rFonts w:ascii="Times New Roman" w:eastAsia="標楷體" w:hAnsi="Times New Roman" w:cs="Times New Roman"/>
          <w:color w:val="000000" w:themeColor="text1"/>
          <w:sz w:val="32"/>
          <w:szCs w:val="32"/>
        </w:rPr>
        <w:t>1</w:t>
      </w:r>
      <w:r w:rsidRPr="00A00C5C">
        <w:rPr>
          <w:rFonts w:ascii="Times New Roman" w:eastAsia="標楷體" w:hAnsi="Times New Roman" w:cs="Times New Roman"/>
          <w:color w:val="000000" w:themeColor="text1"/>
          <w:sz w:val="32"/>
          <w:szCs w:val="32"/>
        </w:rPr>
        <w:t>項第</w:t>
      </w:r>
      <w:r w:rsidRPr="00A00C5C">
        <w:rPr>
          <w:rFonts w:ascii="Times New Roman" w:eastAsia="標楷體" w:hAnsi="Times New Roman" w:cs="Times New Roman"/>
          <w:color w:val="000000" w:themeColor="text1"/>
          <w:sz w:val="32"/>
          <w:szCs w:val="32"/>
        </w:rPr>
        <w:t>4</w:t>
      </w:r>
      <w:r w:rsidRPr="00A00C5C">
        <w:rPr>
          <w:rFonts w:ascii="Times New Roman" w:eastAsia="標楷體" w:hAnsi="Times New Roman" w:cs="Times New Roman"/>
          <w:color w:val="000000" w:themeColor="text1"/>
          <w:sz w:val="32"/>
          <w:szCs w:val="32"/>
        </w:rPr>
        <w:t>款、第</w:t>
      </w:r>
      <w:r w:rsidRPr="00A00C5C">
        <w:rPr>
          <w:rFonts w:ascii="Times New Roman" w:eastAsia="標楷體" w:hAnsi="Times New Roman" w:cs="Times New Roman"/>
          <w:color w:val="000000" w:themeColor="text1"/>
          <w:sz w:val="32"/>
          <w:szCs w:val="32"/>
        </w:rPr>
        <w:t>95</w:t>
      </w:r>
      <w:r w:rsidRPr="00A00C5C">
        <w:rPr>
          <w:rFonts w:ascii="Times New Roman" w:eastAsia="標楷體" w:hAnsi="Times New Roman" w:cs="Times New Roman"/>
          <w:color w:val="000000" w:themeColor="text1"/>
          <w:sz w:val="32"/>
          <w:szCs w:val="32"/>
        </w:rPr>
        <w:t>條第</w:t>
      </w:r>
      <w:r w:rsidRPr="00A00C5C">
        <w:rPr>
          <w:rFonts w:ascii="Times New Roman" w:eastAsia="標楷體" w:hAnsi="Times New Roman" w:cs="Times New Roman"/>
          <w:color w:val="000000" w:themeColor="text1"/>
          <w:sz w:val="32"/>
          <w:szCs w:val="32"/>
        </w:rPr>
        <w:t>1</w:t>
      </w:r>
      <w:r w:rsidRPr="00A00C5C">
        <w:rPr>
          <w:rFonts w:ascii="Times New Roman" w:eastAsia="標楷體" w:hAnsi="Times New Roman" w:cs="Times New Roman"/>
          <w:color w:val="000000" w:themeColor="text1"/>
          <w:sz w:val="32"/>
          <w:szCs w:val="32"/>
        </w:rPr>
        <w:t>項第</w:t>
      </w:r>
      <w:r w:rsidRPr="00A00C5C">
        <w:rPr>
          <w:rFonts w:ascii="Times New Roman" w:eastAsia="標楷體" w:hAnsi="Times New Roman" w:cs="Times New Roman"/>
          <w:color w:val="000000" w:themeColor="text1"/>
          <w:sz w:val="32"/>
          <w:szCs w:val="32"/>
        </w:rPr>
        <w:t>3</w:t>
      </w:r>
      <w:r w:rsidRPr="00A00C5C">
        <w:rPr>
          <w:rFonts w:ascii="Times New Roman" w:eastAsia="標楷體" w:hAnsi="Times New Roman" w:cs="Times New Roman"/>
          <w:color w:val="000000" w:themeColor="text1"/>
          <w:sz w:val="32"/>
          <w:szCs w:val="32"/>
        </w:rPr>
        <w:t>款規定、律師法第</w:t>
      </w:r>
      <w:r w:rsidRPr="00A00C5C">
        <w:rPr>
          <w:rFonts w:ascii="Times New Roman" w:eastAsia="標楷體" w:hAnsi="Times New Roman" w:cs="Times New Roman"/>
          <w:color w:val="000000" w:themeColor="text1"/>
          <w:sz w:val="32"/>
          <w:szCs w:val="32"/>
        </w:rPr>
        <w:t>9</w:t>
      </w:r>
      <w:r w:rsidRPr="00A00C5C">
        <w:rPr>
          <w:rFonts w:ascii="Times New Roman" w:eastAsia="標楷體" w:hAnsi="Times New Roman" w:cs="Times New Roman"/>
          <w:color w:val="000000" w:themeColor="text1"/>
          <w:sz w:val="32"/>
          <w:szCs w:val="32"/>
        </w:rPr>
        <w:t>條</w:t>
      </w:r>
      <w:r w:rsidRPr="00A00C5C">
        <w:rPr>
          <w:rFonts w:ascii="Times New Roman" w:eastAsia="標楷體" w:hAnsi="Times New Roman" w:cs="Times New Roman" w:hint="eastAsia"/>
          <w:color w:val="000000" w:themeColor="text1"/>
          <w:sz w:val="32"/>
          <w:szCs w:val="32"/>
        </w:rPr>
        <w:t>及</w:t>
      </w:r>
      <w:r w:rsidRPr="00A00C5C">
        <w:rPr>
          <w:rFonts w:ascii="Times New Roman" w:eastAsia="標楷體" w:hAnsi="Times New Roman" w:cs="Times New Roman"/>
          <w:color w:val="000000" w:themeColor="text1"/>
          <w:sz w:val="32"/>
          <w:szCs w:val="32"/>
        </w:rPr>
        <w:t>第</w:t>
      </w:r>
      <w:r w:rsidRPr="00A00C5C">
        <w:rPr>
          <w:rFonts w:ascii="Times New Roman" w:eastAsia="標楷體" w:hAnsi="Times New Roman" w:cs="Times New Roman"/>
          <w:color w:val="000000" w:themeColor="text1"/>
          <w:sz w:val="32"/>
          <w:szCs w:val="32"/>
        </w:rPr>
        <w:t>11</w:t>
      </w:r>
      <w:r w:rsidRPr="00A00C5C">
        <w:rPr>
          <w:rFonts w:ascii="Times New Roman" w:eastAsia="標楷體" w:hAnsi="Times New Roman" w:cs="Times New Roman"/>
          <w:color w:val="000000" w:themeColor="text1"/>
          <w:sz w:val="32"/>
          <w:szCs w:val="32"/>
        </w:rPr>
        <w:t>條規定、聲請閱覽刑事案件卷證須知第</w:t>
      </w:r>
      <w:r w:rsidRPr="00A00C5C">
        <w:rPr>
          <w:rFonts w:ascii="Times New Roman" w:eastAsia="標楷體" w:hAnsi="Times New Roman" w:cs="Times New Roman"/>
          <w:color w:val="000000" w:themeColor="text1"/>
          <w:sz w:val="32"/>
          <w:szCs w:val="32"/>
        </w:rPr>
        <w:t>1</w:t>
      </w:r>
      <w:r w:rsidRPr="00A00C5C">
        <w:rPr>
          <w:rFonts w:ascii="Times New Roman" w:eastAsia="標楷體" w:hAnsi="Times New Roman" w:cs="Times New Roman"/>
          <w:color w:val="000000" w:themeColor="text1"/>
          <w:sz w:val="32"/>
          <w:szCs w:val="32"/>
        </w:rPr>
        <w:t>點</w:t>
      </w:r>
      <w:r w:rsidRPr="00A00C5C">
        <w:rPr>
          <w:rFonts w:ascii="Times New Roman" w:eastAsia="標楷體" w:hAnsi="Times New Roman" w:cs="Times New Roman" w:hint="eastAsia"/>
          <w:color w:val="000000" w:themeColor="text1"/>
          <w:sz w:val="32"/>
          <w:szCs w:val="32"/>
        </w:rPr>
        <w:t>及</w:t>
      </w:r>
      <w:r w:rsidRPr="00A00C5C">
        <w:rPr>
          <w:rFonts w:ascii="Times New Roman" w:eastAsia="標楷體" w:hAnsi="Times New Roman" w:cs="Times New Roman"/>
          <w:color w:val="000000" w:themeColor="text1"/>
          <w:sz w:val="32"/>
          <w:szCs w:val="32"/>
        </w:rPr>
        <w:t>第</w:t>
      </w:r>
      <w:r w:rsidRPr="00A00C5C">
        <w:rPr>
          <w:rFonts w:ascii="Times New Roman" w:eastAsia="標楷體" w:hAnsi="Times New Roman" w:cs="Times New Roman"/>
          <w:color w:val="000000" w:themeColor="text1"/>
          <w:sz w:val="32"/>
          <w:szCs w:val="32"/>
        </w:rPr>
        <w:t>2</w:t>
      </w:r>
      <w:r w:rsidRPr="00A00C5C">
        <w:rPr>
          <w:rFonts w:ascii="Times New Roman" w:eastAsia="標楷體" w:hAnsi="Times New Roman" w:cs="Times New Roman"/>
          <w:color w:val="000000" w:themeColor="text1"/>
          <w:sz w:val="32"/>
          <w:szCs w:val="32"/>
        </w:rPr>
        <w:t>點規定、大審法第</w:t>
      </w:r>
      <w:r w:rsidRPr="00A00C5C">
        <w:rPr>
          <w:rFonts w:ascii="Times New Roman" w:eastAsia="標楷體" w:hAnsi="Times New Roman" w:cs="Times New Roman"/>
          <w:color w:val="000000" w:themeColor="text1"/>
          <w:sz w:val="32"/>
          <w:szCs w:val="32"/>
        </w:rPr>
        <w:t>5</w:t>
      </w:r>
      <w:r w:rsidRPr="00A00C5C">
        <w:rPr>
          <w:rFonts w:ascii="Times New Roman" w:eastAsia="標楷體" w:hAnsi="Times New Roman" w:cs="Times New Roman"/>
          <w:color w:val="000000" w:themeColor="text1"/>
          <w:sz w:val="32"/>
          <w:szCs w:val="32"/>
        </w:rPr>
        <w:t>條規定及法律扶助法第</w:t>
      </w:r>
      <w:r w:rsidRPr="00A00C5C">
        <w:rPr>
          <w:rFonts w:ascii="Times New Roman" w:eastAsia="標楷體" w:hAnsi="Times New Roman" w:cs="Times New Roman"/>
          <w:color w:val="000000" w:themeColor="text1"/>
          <w:sz w:val="32"/>
          <w:szCs w:val="32"/>
        </w:rPr>
        <w:t>5</w:t>
      </w:r>
      <w:r w:rsidRPr="00A00C5C">
        <w:rPr>
          <w:rFonts w:ascii="Times New Roman" w:eastAsia="標楷體" w:hAnsi="Times New Roman" w:cs="Times New Roman"/>
          <w:color w:val="000000" w:themeColor="text1"/>
          <w:sz w:val="32"/>
          <w:szCs w:val="32"/>
        </w:rPr>
        <w:t>條第</w:t>
      </w:r>
      <w:r w:rsidRPr="00A00C5C">
        <w:rPr>
          <w:rFonts w:ascii="Times New Roman" w:eastAsia="標楷體" w:hAnsi="Times New Roman" w:cs="Times New Roman"/>
          <w:color w:val="000000" w:themeColor="text1"/>
          <w:sz w:val="32"/>
          <w:szCs w:val="32"/>
        </w:rPr>
        <w:t>3</w:t>
      </w:r>
      <w:r w:rsidRPr="00A00C5C">
        <w:rPr>
          <w:rFonts w:ascii="Times New Roman" w:eastAsia="標楷體" w:hAnsi="Times New Roman" w:cs="Times New Roman"/>
          <w:color w:val="000000" w:themeColor="text1"/>
          <w:sz w:val="32"/>
          <w:szCs w:val="32"/>
        </w:rPr>
        <w:t>項第</w:t>
      </w:r>
      <w:r w:rsidRPr="00A00C5C">
        <w:rPr>
          <w:rFonts w:ascii="Times New Roman" w:eastAsia="標楷體" w:hAnsi="Times New Roman" w:cs="Times New Roman"/>
          <w:color w:val="000000" w:themeColor="text1"/>
          <w:sz w:val="32"/>
          <w:szCs w:val="32"/>
        </w:rPr>
        <w:t>2</w:t>
      </w:r>
      <w:r w:rsidRPr="00A00C5C">
        <w:rPr>
          <w:rFonts w:ascii="Times New Roman" w:eastAsia="標楷體" w:hAnsi="Times New Roman" w:cs="Times New Roman"/>
          <w:color w:val="000000" w:themeColor="text1"/>
          <w:sz w:val="32"/>
          <w:szCs w:val="32"/>
        </w:rPr>
        <w:t>款規定違憲部分，查前開規定未經確定終局裁定二所適用，</w:t>
      </w:r>
      <w:r w:rsidRPr="00A00C5C">
        <w:rPr>
          <w:rFonts w:ascii="Times New Roman" w:eastAsia="標楷體" w:hAnsi="Times New Roman" w:cs="Times New Roman" w:hint="eastAsia"/>
          <w:color w:val="000000" w:themeColor="text1"/>
          <w:sz w:val="32"/>
          <w:szCs w:val="32"/>
        </w:rPr>
        <w:t>自</w:t>
      </w:r>
      <w:r w:rsidRPr="00A00C5C">
        <w:rPr>
          <w:rFonts w:ascii="Times New Roman" w:eastAsia="標楷體" w:hAnsi="Times New Roman" w:cs="Times New Roman"/>
          <w:color w:val="000000" w:themeColor="text1"/>
          <w:sz w:val="32"/>
          <w:szCs w:val="32"/>
        </w:rPr>
        <w:t>不得以之為聲請解釋客體；</w:t>
      </w:r>
      <w:r w:rsidRPr="00A00C5C">
        <w:rPr>
          <w:rFonts w:ascii="Times New Roman" w:eastAsia="標楷體" w:hAnsi="Times New Roman" w:cs="Times New Roman" w:hint="eastAsia"/>
          <w:color w:val="000000" w:themeColor="text1"/>
          <w:sz w:val="32"/>
          <w:szCs w:val="32"/>
        </w:rPr>
        <w:t>至</w:t>
      </w:r>
      <w:r w:rsidRPr="00A00C5C">
        <w:rPr>
          <w:rFonts w:ascii="Times New Roman" w:eastAsia="標楷體" w:hAnsi="Times New Roman" w:cs="Times New Roman"/>
          <w:color w:val="000000" w:themeColor="text1"/>
          <w:sz w:val="32"/>
          <w:szCs w:val="32"/>
        </w:rPr>
        <w:t>其指摘刑事訴訟法第</w:t>
      </w:r>
      <w:r w:rsidRPr="00A00C5C">
        <w:rPr>
          <w:rFonts w:ascii="Times New Roman" w:eastAsia="標楷體" w:hAnsi="Times New Roman" w:cs="Times New Roman"/>
          <w:color w:val="000000" w:themeColor="text1"/>
          <w:sz w:val="32"/>
          <w:szCs w:val="32"/>
        </w:rPr>
        <w:t>33</w:t>
      </w:r>
      <w:r w:rsidRPr="00A00C5C">
        <w:rPr>
          <w:rFonts w:ascii="Times New Roman" w:eastAsia="標楷體" w:hAnsi="Times New Roman" w:cs="Times New Roman"/>
          <w:color w:val="000000" w:themeColor="text1"/>
          <w:sz w:val="32"/>
          <w:szCs w:val="32"/>
        </w:rPr>
        <w:t>條第</w:t>
      </w:r>
      <w:r w:rsidRPr="00A00C5C">
        <w:rPr>
          <w:rFonts w:ascii="Times New Roman" w:eastAsia="標楷體" w:hAnsi="Times New Roman" w:cs="Times New Roman"/>
          <w:color w:val="000000" w:themeColor="text1"/>
          <w:sz w:val="32"/>
          <w:szCs w:val="32"/>
        </w:rPr>
        <w:t>1</w:t>
      </w:r>
      <w:r w:rsidRPr="00A00C5C">
        <w:rPr>
          <w:rFonts w:ascii="Times New Roman" w:eastAsia="標楷體" w:hAnsi="Times New Roman" w:cs="Times New Roman"/>
          <w:color w:val="000000" w:themeColor="text1"/>
          <w:sz w:val="32"/>
          <w:szCs w:val="32"/>
        </w:rPr>
        <w:t>項違憲</w:t>
      </w:r>
      <w:r w:rsidRPr="00A00C5C">
        <w:rPr>
          <w:rFonts w:ascii="Times New Roman" w:eastAsia="標楷體" w:hAnsi="Times New Roman" w:cs="Times New Roman" w:hint="eastAsia"/>
          <w:color w:val="000000" w:themeColor="text1"/>
          <w:sz w:val="32"/>
          <w:szCs w:val="32"/>
        </w:rPr>
        <w:t>暨同</w:t>
      </w:r>
      <w:r w:rsidRPr="00A00C5C">
        <w:rPr>
          <w:rFonts w:ascii="Times New Roman" w:eastAsia="標楷體" w:hAnsi="Times New Roman" w:cs="Times New Roman"/>
          <w:color w:val="000000" w:themeColor="text1"/>
          <w:sz w:val="32"/>
          <w:szCs w:val="32"/>
        </w:rPr>
        <w:t>案聲請人</w:t>
      </w:r>
      <w:r w:rsidRPr="00A00C5C">
        <w:rPr>
          <w:rFonts w:ascii="Times New Roman" w:eastAsia="標楷體" w:hAnsi="Times New Roman" w:cs="Times New Roman" w:hint="eastAsia"/>
          <w:color w:val="000000" w:themeColor="text1"/>
          <w:sz w:val="32"/>
          <w:szCs w:val="32"/>
        </w:rPr>
        <w:t>蔣</w:t>
      </w:r>
      <w:r w:rsidRPr="00A00C5C">
        <w:rPr>
          <w:rFonts w:ascii="Times New Roman" w:eastAsia="標楷體" w:hAnsi="Times New Roman" w:cs="Times New Roman"/>
          <w:color w:val="000000" w:themeColor="text1"/>
          <w:sz w:val="32"/>
          <w:szCs w:val="32"/>
        </w:rPr>
        <w:t>曼娜</w:t>
      </w:r>
      <w:r w:rsidRPr="00A00C5C">
        <w:rPr>
          <w:rFonts w:ascii="Times New Roman" w:eastAsia="標楷體" w:hAnsi="Times New Roman" w:cs="Times New Roman" w:hint="eastAsia"/>
          <w:color w:val="000000" w:themeColor="text1"/>
          <w:sz w:val="32"/>
          <w:szCs w:val="32"/>
        </w:rPr>
        <w:t>（聲</w:t>
      </w:r>
      <w:r w:rsidRPr="00A00C5C">
        <w:rPr>
          <w:rFonts w:ascii="Times New Roman" w:eastAsia="標楷體" w:hAnsi="Times New Roman" w:cs="Times New Roman"/>
          <w:color w:val="000000" w:themeColor="text1"/>
          <w:sz w:val="32"/>
          <w:szCs w:val="32"/>
        </w:rPr>
        <w:t>請人二</w:t>
      </w:r>
      <w:r w:rsidRPr="00A00C5C">
        <w:rPr>
          <w:rFonts w:ascii="Times New Roman" w:eastAsia="標楷體" w:hAnsi="Times New Roman" w:cs="Times New Roman" w:hint="eastAsia"/>
          <w:color w:val="000000" w:themeColor="text1"/>
          <w:sz w:val="32"/>
          <w:szCs w:val="32"/>
        </w:rPr>
        <w:t>之</w:t>
      </w:r>
      <w:r w:rsidRPr="00A00C5C">
        <w:rPr>
          <w:rFonts w:ascii="Times New Roman" w:eastAsia="標楷體" w:hAnsi="Times New Roman" w:cs="Times New Roman"/>
          <w:color w:val="000000" w:themeColor="text1"/>
          <w:sz w:val="32"/>
          <w:szCs w:val="32"/>
        </w:rPr>
        <w:t>輔佐人）</w:t>
      </w:r>
      <w:r w:rsidRPr="00A00C5C">
        <w:rPr>
          <w:rFonts w:ascii="Times New Roman" w:eastAsia="標楷體" w:hAnsi="Times New Roman" w:cs="Times New Roman" w:hint="eastAsia"/>
          <w:color w:val="000000" w:themeColor="text1"/>
          <w:sz w:val="32"/>
          <w:szCs w:val="32"/>
        </w:rPr>
        <w:t>指</w:t>
      </w:r>
      <w:r w:rsidRPr="00A00C5C">
        <w:rPr>
          <w:rFonts w:ascii="Times New Roman" w:eastAsia="標楷體" w:hAnsi="Times New Roman" w:cs="Times New Roman"/>
          <w:color w:val="000000" w:themeColor="text1"/>
          <w:sz w:val="32"/>
          <w:szCs w:val="32"/>
        </w:rPr>
        <w:t>摘未賦</w:t>
      </w:r>
      <w:r w:rsidRPr="00A00C5C">
        <w:rPr>
          <w:rFonts w:ascii="Times New Roman" w:eastAsia="標楷體" w:hAnsi="Times New Roman" w:cs="Times New Roman" w:hint="eastAsia"/>
          <w:color w:val="000000" w:themeColor="text1"/>
          <w:sz w:val="32"/>
          <w:szCs w:val="32"/>
        </w:rPr>
        <w:t>予</w:t>
      </w:r>
      <w:r w:rsidRPr="00A00C5C">
        <w:rPr>
          <w:rFonts w:ascii="Times New Roman" w:eastAsia="標楷體" w:hAnsi="Times New Roman" w:cs="Times New Roman"/>
          <w:color w:val="000000" w:themeColor="text1"/>
          <w:sz w:val="32"/>
          <w:szCs w:val="32"/>
        </w:rPr>
        <w:t>輔佐人</w:t>
      </w:r>
      <w:r w:rsidRPr="00A00C5C">
        <w:rPr>
          <w:rFonts w:ascii="Times New Roman" w:eastAsia="標楷體" w:hAnsi="Times New Roman" w:cs="Times New Roman" w:hint="eastAsia"/>
          <w:color w:val="000000" w:themeColor="text1"/>
          <w:sz w:val="32"/>
          <w:szCs w:val="32"/>
        </w:rPr>
        <w:t>卷</w:t>
      </w:r>
      <w:r w:rsidRPr="00A00C5C">
        <w:rPr>
          <w:rFonts w:ascii="Times New Roman" w:eastAsia="標楷體" w:hAnsi="Times New Roman" w:cs="Times New Roman"/>
          <w:color w:val="000000" w:themeColor="text1"/>
          <w:sz w:val="32"/>
          <w:szCs w:val="32"/>
        </w:rPr>
        <w:t>證資訊獲知權</w:t>
      </w:r>
      <w:r w:rsidRPr="00A00C5C">
        <w:rPr>
          <w:rFonts w:ascii="Times New Roman" w:eastAsia="標楷體" w:hAnsi="Times New Roman" w:cs="Times New Roman" w:hint="eastAsia"/>
          <w:color w:val="000000" w:themeColor="text1"/>
          <w:sz w:val="32"/>
          <w:szCs w:val="32"/>
        </w:rPr>
        <w:t>部</w:t>
      </w:r>
      <w:r w:rsidRPr="00A00C5C">
        <w:rPr>
          <w:rFonts w:ascii="Times New Roman" w:eastAsia="標楷體" w:hAnsi="Times New Roman" w:cs="Times New Roman"/>
          <w:color w:val="000000" w:themeColor="text1"/>
          <w:sz w:val="32"/>
          <w:szCs w:val="32"/>
        </w:rPr>
        <w:t>分，</w:t>
      </w:r>
      <w:r w:rsidRPr="00A00C5C">
        <w:rPr>
          <w:rFonts w:ascii="Times New Roman" w:eastAsia="標楷體" w:hAnsi="Times New Roman" w:cs="Times New Roman" w:hint="eastAsia"/>
          <w:color w:val="000000" w:themeColor="text1"/>
          <w:sz w:val="32"/>
          <w:szCs w:val="32"/>
        </w:rPr>
        <w:t>均</w:t>
      </w:r>
      <w:r w:rsidRPr="00A00C5C">
        <w:rPr>
          <w:rFonts w:ascii="Times New Roman" w:eastAsia="標楷體" w:hAnsi="Times New Roman" w:cs="Times New Roman"/>
          <w:color w:val="000000" w:themeColor="text1"/>
          <w:sz w:val="32"/>
          <w:szCs w:val="32"/>
        </w:rPr>
        <w:t>未具體指摘</w:t>
      </w:r>
      <w:r w:rsidRPr="00A00C5C">
        <w:rPr>
          <w:rFonts w:ascii="Times New Roman" w:eastAsia="標楷體" w:hAnsi="Times New Roman" w:cs="Times New Roman" w:hint="eastAsia"/>
          <w:color w:val="000000" w:themeColor="text1"/>
          <w:sz w:val="32"/>
          <w:szCs w:val="32"/>
        </w:rPr>
        <w:t>客</w:t>
      </w:r>
      <w:r w:rsidRPr="00A00C5C">
        <w:rPr>
          <w:rFonts w:ascii="Times New Roman" w:eastAsia="標楷體" w:hAnsi="Times New Roman" w:cs="Times New Roman"/>
          <w:color w:val="000000" w:themeColor="text1"/>
          <w:sz w:val="32"/>
          <w:szCs w:val="32"/>
        </w:rPr>
        <w:t>觀上究有何違憲之處</w:t>
      </w:r>
      <w:r w:rsidRPr="00A00C5C">
        <w:rPr>
          <w:rFonts w:ascii="Times New Roman" w:eastAsia="標楷體" w:hAnsi="Times New Roman" w:cs="Times New Roman" w:hint="eastAsia"/>
          <w:color w:val="000000" w:themeColor="text1"/>
          <w:sz w:val="32"/>
          <w:szCs w:val="32"/>
        </w:rPr>
        <w:t>。</w:t>
      </w:r>
      <w:r w:rsidRPr="00A00C5C">
        <w:rPr>
          <w:rFonts w:ascii="Times New Roman" w:eastAsia="標楷體" w:hAnsi="Times New Roman" w:cs="Times New Roman"/>
          <w:color w:val="000000" w:themeColor="text1"/>
          <w:sz w:val="32"/>
          <w:szCs w:val="32"/>
        </w:rPr>
        <w:t>是此等部分聲請</w:t>
      </w:r>
      <w:r w:rsidRPr="00A00C5C">
        <w:rPr>
          <w:rFonts w:ascii="Times New Roman" w:eastAsia="標楷體" w:hAnsi="Times New Roman" w:cs="Times New Roman" w:hint="eastAsia"/>
          <w:color w:val="000000" w:themeColor="text1"/>
          <w:sz w:val="32"/>
          <w:szCs w:val="32"/>
        </w:rPr>
        <w:t>均</w:t>
      </w:r>
      <w:r w:rsidRPr="00A00C5C">
        <w:rPr>
          <w:rFonts w:ascii="Times New Roman" w:eastAsia="標楷體" w:hAnsi="Times New Roman" w:cs="Times New Roman"/>
          <w:color w:val="000000" w:themeColor="text1"/>
          <w:sz w:val="32"/>
          <w:szCs w:val="32"/>
        </w:rPr>
        <w:t>與大審法第</w:t>
      </w:r>
      <w:r w:rsidRPr="00A00C5C">
        <w:rPr>
          <w:rFonts w:ascii="Times New Roman" w:eastAsia="標楷體" w:hAnsi="Times New Roman" w:cs="Times New Roman"/>
          <w:color w:val="000000" w:themeColor="text1"/>
          <w:sz w:val="32"/>
          <w:szCs w:val="32"/>
        </w:rPr>
        <w:t>5</w:t>
      </w:r>
      <w:r w:rsidRPr="00A00C5C">
        <w:rPr>
          <w:rFonts w:ascii="Times New Roman" w:eastAsia="標楷體" w:hAnsi="Times New Roman" w:cs="Times New Roman"/>
          <w:color w:val="000000" w:themeColor="text1"/>
          <w:sz w:val="32"/>
          <w:szCs w:val="32"/>
        </w:rPr>
        <w:t>條第</w:t>
      </w:r>
      <w:r w:rsidRPr="00A00C5C">
        <w:rPr>
          <w:rFonts w:ascii="Times New Roman" w:eastAsia="標楷體" w:hAnsi="Times New Roman" w:cs="Times New Roman"/>
          <w:color w:val="000000" w:themeColor="text1"/>
          <w:sz w:val="32"/>
          <w:szCs w:val="32"/>
        </w:rPr>
        <w:t>1</w:t>
      </w:r>
      <w:r w:rsidRPr="00A00C5C">
        <w:rPr>
          <w:rFonts w:ascii="Times New Roman" w:eastAsia="標楷體" w:hAnsi="Times New Roman" w:cs="Times New Roman"/>
          <w:color w:val="000000" w:themeColor="text1"/>
          <w:sz w:val="32"/>
          <w:szCs w:val="32"/>
        </w:rPr>
        <w:t>項第</w:t>
      </w:r>
      <w:r w:rsidRPr="00A00C5C">
        <w:rPr>
          <w:rFonts w:ascii="Times New Roman" w:eastAsia="標楷體" w:hAnsi="Times New Roman" w:cs="Times New Roman"/>
          <w:color w:val="000000" w:themeColor="text1"/>
          <w:sz w:val="32"/>
          <w:szCs w:val="32"/>
        </w:rPr>
        <w:t>2</w:t>
      </w:r>
      <w:r w:rsidRPr="00A00C5C">
        <w:rPr>
          <w:rFonts w:ascii="Times New Roman" w:eastAsia="標楷體" w:hAnsi="Times New Roman" w:cs="Times New Roman"/>
          <w:color w:val="000000" w:themeColor="text1"/>
          <w:sz w:val="32"/>
          <w:szCs w:val="32"/>
        </w:rPr>
        <w:t>款所定要件不符，依同條第</w:t>
      </w:r>
      <w:r w:rsidRPr="00A00C5C">
        <w:rPr>
          <w:rFonts w:ascii="Times New Roman" w:eastAsia="標楷體" w:hAnsi="Times New Roman" w:cs="Times New Roman"/>
          <w:color w:val="000000" w:themeColor="text1"/>
          <w:sz w:val="32"/>
          <w:szCs w:val="32"/>
        </w:rPr>
        <w:t>3</w:t>
      </w:r>
      <w:r w:rsidRPr="00A00C5C">
        <w:rPr>
          <w:rFonts w:ascii="Times New Roman" w:eastAsia="標楷體" w:hAnsi="Times New Roman" w:cs="Times New Roman"/>
          <w:color w:val="000000" w:themeColor="text1"/>
          <w:sz w:val="32"/>
          <w:szCs w:val="32"/>
        </w:rPr>
        <w:t>項規定，</w:t>
      </w:r>
      <w:r w:rsidRPr="00A00C5C">
        <w:rPr>
          <w:rFonts w:ascii="Times New Roman" w:eastAsia="標楷體" w:hAnsi="Times New Roman" w:cs="Times New Roman" w:hint="eastAsia"/>
          <w:color w:val="000000" w:themeColor="text1"/>
          <w:sz w:val="32"/>
          <w:szCs w:val="32"/>
        </w:rPr>
        <w:t>均</w:t>
      </w:r>
      <w:r w:rsidRPr="00A00C5C">
        <w:rPr>
          <w:rFonts w:ascii="Times New Roman" w:eastAsia="標楷體" w:hAnsi="Times New Roman" w:cs="Times New Roman"/>
          <w:color w:val="000000" w:themeColor="text1"/>
          <w:sz w:val="32"/>
          <w:szCs w:val="32"/>
        </w:rPr>
        <w:t>應不受理</w:t>
      </w:r>
      <w:r w:rsidR="00896B31" w:rsidRPr="00A00C5C">
        <w:rPr>
          <w:rFonts w:ascii="Times New Roman" w:eastAsia="標楷體" w:hAnsi="Times New Roman" w:cs="Times New Roman"/>
          <w:color w:val="000000" w:themeColor="text1"/>
          <w:sz w:val="32"/>
          <w:szCs w:val="32"/>
        </w:rPr>
        <w:t>。</w:t>
      </w:r>
    </w:p>
    <w:p w:rsidR="00896B31" w:rsidRDefault="00D32B0F" w:rsidP="00074F93">
      <w:pPr>
        <w:overflowPunct w:val="0"/>
        <w:spacing w:beforeLines="50" w:before="180" w:afterLines="50" w:after="180" w:line="520" w:lineRule="exact"/>
        <w:ind w:firstLineChars="200" w:firstLine="640"/>
        <w:jc w:val="both"/>
        <w:rPr>
          <w:rFonts w:ascii="Times New Roman" w:eastAsia="標楷體" w:hAnsi="Times New Roman" w:cs="Times New Roman"/>
          <w:color w:val="000000" w:themeColor="text1"/>
          <w:sz w:val="32"/>
          <w:szCs w:val="32"/>
        </w:rPr>
      </w:pPr>
      <w:r w:rsidRPr="00A00C5C">
        <w:rPr>
          <w:rFonts w:ascii="Times New Roman" w:eastAsia="標楷體" w:hAnsi="Times New Roman" w:cs="Times New Roman"/>
          <w:color w:val="000000" w:themeColor="text1"/>
          <w:sz w:val="32"/>
          <w:szCs w:val="32"/>
        </w:rPr>
        <w:t>又聲請人</w:t>
      </w:r>
      <w:r w:rsidRPr="00A00C5C">
        <w:rPr>
          <w:rFonts w:ascii="Times New Roman" w:eastAsia="標楷體" w:hAnsi="Times New Roman" w:cs="Times New Roman" w:hint="eastAsia"/>
          <w:color w:val="000000" w:themeColor="text1"/>
          <w:sz w:val="32"/>
          <w:szCs w:val="32"/>
        </w:rPr>
        <w:t>二</w:t>
      </w:r>
      <w:r w:rsidRPr="00A00C5C">
        <w:rPr>
          <w:rFonts w:ascii="Times New Roman" w:eastAsia="標楷體" w:hAnsi="Times New Roman" w:cs="Times New Roman"/>
          <w:color w:val="000000" w:themeColor="text1"/>
          <w:sz w:val="32"/>
          <w:szCs w:val="32"/>
        </w:rPr>
        <w:t>聲請暫時處分部分，因本案業經作成解釋，無作成暫時處分之必要</w:t>
      </w:r>
      <w:r w:rsidRPr="00A00C5C">
        <w:rPr>
          <w:rFonts w:ascii="Times New Roman" w:eastAsia="標楷體" w:hAnsi="Times New Roman" w:cs="Times New Roman" w:hint="eastAsia"/>
          <w:color w:val="000000" w:themeColor="text1"/>
          <w:sz w:val="32"/>
          <w:szCs w:val="32"/>
        </w:rPr>
        <w:t>；另同</w:t>
      </w:r>
      <w:r w:rsidRPr="00A00C5C">
        <w:rPr>
          <w:rFonts w:ascii="Times New Roman" w:eastAsia="標楷體" w:hAnsi="Times New Roman" w:cs="Times New Roman"/>
          <w:color w:val="000000" w:themeColor="text1"/>
          <w:sz w:val="32"/>
          <w:szCs w:val="32"/>
        </w:rPr>
        <w:t>案聲請人</w:t>
      </w:r>
      <w:r w:rsidRPr="00A00C5C">
        <w:rPr>
          <w:rFonts w:ascii="Times New Roman" w:eastAsia="標楷體" w:hAnsi="Times New Roman" w:cs="Times New Roman" w:hint="eastAsia"/>
          <w:color w:val="000000" w:themeColor="text1"/>
          <w:sz w:val="32"/>
          <w:szCs w:val="32"/>
        </w:rPr>
        <w:t>蔣</w:t>
      </w:r>
      <w:r w:rsidRPr="00A00C5C">
        <w:rPr>
          <w:rFonts w:ascii="Times New Roman" w:eastAsia="標楷體" w:hAnsi="Times New Roman" w:cs="Times New Roman"/>
          <w:color w:val="000000" w:themeColor="text1"/>
          <w:sz w:val="32"/>
          <w:szCs w:val="32"/>
        </w:rPr>
        <w:t>曼娜聲請</w:t>
      </w:r>
      <w:r w:rsidRPr="00A00C5C">
        <w:rPr>
          <w:rFonts w:ascii="Times New Roman" w:eastAsia="標楷體" w:hAnsi="Times New Roman" w:cs="Times New Roman" w:hint="eastAsia"/>
          <w:color w:val="000000" w:themeColor="text1"/>
          <w:sz w:val="32"/>
          <w:szCs w:val="32"/>
        </w:rPr>
        <w:t>解</w:t>
      </w:r>
      <w:r w:rsidRPr="00A00C5C">
        <w:rPr>
          <w:rFonts w:ascii="Times New Roman" w:eastAsia="標楷體" w:hAnsi="Times New Roman" w:cs="Times New Roman"/>
          <w:color w:val="000000" w:themeColor="text1"/>
          <w:sz w:val="32"/>
          <w:szCs w:val="32"/>
        </w:rPr>
        <w:t>釋部分，</w:t>
      </w:r>
      <w:r w:rsidRPr="00A00C5C">
        <w:rPr>
          <w:rFonts w:ascii="Times New Roman" w:eastAsia="標楷體" w:hAnsi="Times New Roman" w:cs="Times New Roman" w:hint="eastAsia"/>
          <w:color w:val="000000" w:themeColor="text1"/>
          <w:sz w:val="32"/>
          <w:szCs w:val="32"/>
        </w:rPr>
        <w:t>既已</w:t>
      </w:r>
      <w:r w:rsidRPr="00A00C5C">
        <w:rPr>
          <w:rFonts w:ascii="Times New Roman" w:eastAsia="標楷體" w:hAnsi="Times New Roman" w:cs="Times New Roman"/>
          <w:color w:val="000000" w:themeColor="text1"/>
          <w:sz w:val="32"/>
          <w:szCs w:val="32"/>
        </w:rPr>
        <w:t>不受理，</w:t>
      </w:r>
      <w:r w:rsidRPr="00A00C5C">
        <w:rPr>
          <w:rFonts w:ascii="Times New Roman" w:eastAsia="標楷體" w:hAnsi="Times New Roman" w:cs="Times New Roman" w:hint="eastAsia"/>
          <w:color w:val="000000" w:themeColor="text1"/>
          <w:sz w:val="32"/>
          <w:szCs w:val="32"/>
        </w:rPr>
        <w:t>其有</w:t>
      </w:r>
      <w:r w:rsidRPr="00A00C5C">
        <w:rPr>
          <w:rFonts w:ascii="Times New Roman" w:eastAsia="標楷體" w:hAnsi="Times New Roman" w:cs="Times New Roman"/>
          <w:color w:val="000000" w:themeColor="text1"/>
          <w:sz w:val="32"/>
          <w:szCs w:val="32"/>
        </w:rPr>
        <w:t>關暫時處分之聲請即失</w:t>
      </w:r>
      <w:r w:rsidRPr="00A00C5C">
        <w:rPr>
          <w:rFonts w:ascii="Times New Roman" w:eastAsia="標楷體" w:hAnsi="Times New Roman" w:cs="Times New Roman" w:hint="eastAsia"/>
          <w:color w:val="000000" w:themeColor="text1"/>
          <w:sz w:val="32"/>
          <w:szCs w:val="32"/>
        </w:rPr>
        <w:t>所</w:t>
      </w:r>
      <w:r w:rsidRPr="00A00C5C">
        <w:rPr>
          <w:rFonts w:ascii="Times New Roman" w:eastAsia="標楷體" w:hAnsi="Times New Roman" w:cs="Times New Roman"/>
          <w:color w:val="000000" w:themeColor="text1"/>
          <w:sz w:val="32"/>
          <w:szCs w:val="32"/>
        </w:rPr>
        <w:t>依附，</w:t>
      </w:r>
      <w:r w:rsidRPr="00A00C5C">
        <w:rPr>
          <w:rFonts w:ascii="Times New Roman" w:eastAsia="標楷體" w:hAnsi="Times New Roman" w:cs="Times New Roman" w:hint="eastAsia"/>
          <w:color w:val="000000" w:themeColor="text1"/>
          <w:sz w:val="32"/>
          <w:szCs w:val="32"/>
        </w:rPr>
        <w:t>均</w:t>
      </w:r>
      <w:r w:rsidRPr="00A00C5C">
        <w:rPr>
          <w:rFonts w:ascii="Times New Roman" w:eastAsia="標楷體" w:hAnsi="Times New Roman" w:cs="Times New Roman"/>
          <w:color w:val="000000" w:themeColor="text1"/>
          <w:sz w:val="32"/>
          <w:szCs w:val="32"/>
        </w:rPr>
        <w:t>應</w:t>
      </w:r>
      <w:r w:rsidRPr="00A00C5C">
        <w:rPr>
          <w:rFonts w:ascii="Times New Roman" w:eastAsia="標楷體" w:hAnsi="Times New Roman" w:cs="Times New Roman" w:hint="eastAsia"/>
          <w:color w:val="000000" w:themeColor="text1"/>
          <w:sz w:val="32"/>
          <w:szCs w:val="32"/>
        </w:rPr>
        <w:t>併</w:t>
      </w:r>
      <w:r w:rsidRPr="00A00C5C">
        <w:rPr>
          <w:rFonts w:ascii="Times New Roman" w:eastAsia="標楷體" w:hAnsi="Times New Roman" w:cs="Times New Roman"/>
          <w:color w:val="000000" w:themeColor="text1"/>
          <w:sz w:val="32"/>
          <w:szCs w:val="32"/>
        </w:rPr>
        <w:t>予駁回</w:t>
      </w:r>
      <w:r w:rsidR="00074F93" w:rsidRPr="00A00C5C">
        <w:rPr>
          <w:rFonts w:ascii="Times New Roman" w:eastAsia="標楷體" w:hAnsi="Times New Roman" w:cs="Times New Roman"/>
          <w:color w:val="000000" w:themeColor="text1"/>
          <w:sz w:val="32"/>
          <w:szCs w:val="32"/>
        </w:rPr>
        <w:t>。</w:t>
      </w:r>
    </w:p>
    <w:p w:rsidR="005E131E" w:rsidRPr="005E131E" w:rsidRDefault="005E131E" w:rsidP="005E131E">
      <w:pPr>
        <w:kinsoku w:val="0"/>
        <w:overflowPunct w:val="0"/>
        <w:spacing w:beforeLines="100" w:before="360" w:line="560" w:lineRule="exact"/>
        <w:rPr>
          <w:rFonts w:ascii="標楷體" w:eastAsia="標楷體" w:hAnsi="標楷體"/>
          <w:sz w:val="32"/>
          <w:szCs w:val="32"/>
        </w:rPr>
      </w:pPr>
      <w:r w:rsidRPr="005E131E">
        <w:rPr>
          <w:rFonts w:ascii="標楷體" w:eastAsia="標楷體" w:hAnsi="標楷體" w:hint="eastAsia"/>
          <w:sz w:val="32"/>
          <w:szCs w:val="32"/>
        </w:rPr>
        <w:t>大法官會議主席 大法官 許宗力</w:t>
      </w:r>
    </w:p>
    <w:p w:rsidR="005E131E" w:rsidRPr="005E131E" w:rsidRDefault="005E131E" w:rsidP="005E131E">
      <w:pPr>
        <w:kinsoku w:val="0"/>
        <w:overflowPunct w:val="0"/>
        <w:spacing w:line="540" w:lineRule="exact"/>
        <w:ind w:firstLineChars="750" w:firstLine="2400"/>
        <w:rPr>
          <w:rFonts w:ascii="標楷體" w:eastAsia="標楷體" w:hAnsi="標楷體"/>
          <w:sz w:val="32"/>
          <w:szCs w:val="32"/>
        </w:rPr>
      </w:pPr>
      <w:r w:rsidRPr="005E131E">
        <w:rPr>
          <w:rFonts w:ascii="標楷體" w:eastAsia="標楷體" w:hAnsi="標楷體" w:hint="eastAsia"/>
          <w:sz w:val="32"/>
          <w:szCs w:val="32"/>
        </w:rPr>
        <w:t>大法官 蔡烱燉 陳碧玉 黃璽君 羅昌發</w:t>
      </w:r>
    </w:p>
    <w:p w:rsidR="005E131E" w:rsidRPr="005E131E" w:rsidRDefault="005E131E" w:rsidP="005E131E">
      <w:pPr>
        <w:kinsoku w:val="0"/>
        <w:overflowPunct w:val="0"/>
        <w:spacing w:line="540" w:lineRule="exact"/>
        <w:ind w:firstLineChars="750" w:firstLine="2400"/>
        <w:rPr>
          <w:rFonts w:ascii="標楷體" w:eastAsia="標楷體" w:hAnsi="標楷體"/>
          <w:sz w:val="32"/>
          <w:szCs w:val="32"/>
        </w:rPr>
      </w:pPr>
      <w:r w:rsidRPr="005E131E">
        <w:rPr>
          <w:rFonts w:ascii="標楷體" w:eastAsia="標楷體" w:hAnsi="標楷體" w:hint="eastAsia"/>
          <w:sz w:val="32"/>
          <w:szCs w:val="32"/>
        </w:rPr>
        <w:t xml:space="preserve">       湯德宗 黃虹霞 吳陳鐶 蔡明誠 </w:t>
      </w:r>
    </w:p>
    <w:p w:rsidR="005E131E" w:rsidRPr="005E131E" w:rsidRDefault="005E131E" w:rsidP="005E131E">
      <w:pPr>
        <w:kinsoku w:val="0"/>
        <w:overflowPunct w:val="0"/>
        <w:spacing w:line="540" w:lineRule="exact"/>
        <w:ind w:firstLineChars="750" w:firstLine="2400"/>
        <w:rPr>
          <w:rFonts w:ascii="標楷體" w:eastAsia="標楷體" w:hAnsi="標楷體"/>
          <w:sz w:val="32"/>
          <w:szCs w:val="32"/>
        </w:rPr>
      </w:pPr>
      <w:r w:rsidRPr="005E131E">
        <w:rPr>
          <w:rFonts w:ascii="標楷體" w:eastAsia="標楷體" w:hAnsi="標楷體" w:hint="eastAsia"/>
          <w:sz w:val="32"/>
          <w:szCs w:val="32"/>
        </w:rPr>
        <w:t xml:space="preserve">       林俊益 許志雄 張瓊文 黃瑞明 </w:t>
      </w:r>
    </w:p>
    <w:p w:rsidR="005E131E" w:rsidRPr="005E131E" w:rsidRDefault="005E131E" w:rsidP="005E131E">
      <w:pPr>
        <w:kinsoku w:val="0"/>
        <w:overflowPunct w:val="0"/>
        <w:spacing w:line="540" w:lineRule="exact"/>
        <w:ind w:firstLineChars="750" w:firstLine="2400"/>
        <w:rPr>
          <w:rFonts w:ascii="標楷體" w:eastAsia="標楷體" w:hAnsi="標楷體"/>
          <w:sz w:val="32"/>
          <w:szCs w:val="32"/>
        </w:rPr>
      </w:pPr>
      <w:r w:rsidRPr="005E131E">
        <w:rPr>
          <w:rFonts w:ascii="標楷體" w:eastAsia="標楷體" w:hAnsi="標楷體" w:hint="eastAsia"/>
          <w:sz w:val="32"/>
          <w:szCs w:val="32"/>
        </w:rPr>
        <w:t xml:space="preserve">       詹森林 黃昭元</w:t>
      </w:r>
    </w:p>
    <w:p w:rsidR="00C24AA7" w:rsidRPr="00A00C5C" w:rsidRDefault="00C24AA7" w:rsidP="005E131E">
      <w:pPr>
        <w:overflowPunct w:val="0"/>
        <w:spacing w:beforeLines="50" w:before="180" w:afterLines="50" w:after="180" w:line="520" w:lineRule="exact"/>
        <w:jc w:val="both"/>
        <w:rPr>
          <w:rFonts w:ascii="Times New Roman" w:eastAsia="標楷體" w:hAnsi="Times New Roman" w:cs="Times New Roman"/>
          <w:color w:val="000000" w:themeColor="text1"/>
          <w:sz w:val="32"/>
          <w:szCs w:val="32"/>
        </w:rPr>
      </w:pPr>
    </w:p>
    <w:sectPr w:rsidR="00C24AA7" w:rsidRPr="00A00C5C" w:rsidSect="00A00C5C">
      <w:footerReference w:type="default" r:id="rId7"/>
      <w:type w:val="continuous"/>
      <w:pgSz w:w="11906" w:h="16838"/>
      <w:pgMar w:top="1418" w:right="1644" w:bottom="1418" w:left="1797" w:header="720"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98" w:rsidRDefault="00686F98">
      <w:r>
        <w:separator/>
      </w:r>
    </w:p>
  </w:endnote>
  <w:endnote w:type="continuationSeparator" w:id="0">
    <w:p w:rsidR="00686F98" w:rsidRDefault="0068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Noto Sans CJK TC Regular">
    <w:altName w:val="Times New Roman"/>
    <w:charset w:val="01"/>
    <w:family w:val="auto"/>
    <w:pitch w:val="variable"/>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444188"/>
      <w:docPartObj>
        <w:docPartGallery w:val="Page Numbers (Bottom of Page)"/>
        <w:docPartUnique/>
      </w:docPartObj>
    </w:sdtPr>
    <w:sdtEndPr/>
    <w:sdtContent>
      <w:p w:rsidR="00026839" w:rsidRDefault="00026839">
        <w:pPr>
          <w:pStyle w:val="a9"/>
          <w:jc w:val="center"/>
        </w:pPr>
        <w:r>
          <w:fldChar w:fldCharType="begin"/>
        </w:r>
        <w:r>
          <w:instrText>PAGE   \* MERGEFORMAT</w:instrText>
        </w:r>
        <w:r>
          <w:fldChar w:fldCharType="separate"/>
        </w:r>
        <w:r w:rsidR="00274509" w:rsidRPr="00274509">
          <w:rPr>
            <w:noProof/>
            <w:lang w:val="zh-TW"/>
          </w:rPr>
          <w:t>1</w:t>
        </w:r>
        <w:r>
          <w:fldChar w:fldCharType="end"/>
        </w:r>
      </w:p>
    </w:sdtContent>
  </w:sdt>
  <w:p w:rsidR="00026839" w:rsidRDefault="000268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98" w:rsidRDefault="00686F98">
      <w:r>
        <w:separator/>
      </w:r>
    </w:p>
  </w:footnote>
  <w:footnote w:type="continuationSeparator" w:id="0">
    <w:p w:rsidR="00686F98" w:rsidRDefault="00686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20"/>
  <w:displayHorizontalDrawingGridEvery w:val="0"/>
  <w:displayVerticalDrawingGridEvery w:val="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BB"/>
    <w:rsid w:val="00001C16"/>
    <w:rsid w:val="000024AC"/>
    <w:rsid w:val="0001213B"/>
    <w:rsid w:val="000227A9"/>
    <w:rsid w:val="00025906"/>
    <w:rsid w:val="00026839"/>
    <w:rsid w:val="00031ECA"/>
    <w:rsid w:val="000373AF"/>
    <w:rsid w:val="00037A41"/>
    <w:rsid w:val="00041937"/>
    <w:rsid w:val="00052C07"/>
    <w:rsid w:val="00055D8C"/>
    <w:rsid w:val="00060A44"/>
    <w:rsid w:val="000662E7"/>
    <w:rsid w:val="00074F93"/>
    <w:rsid w:val="000827D3"/>
    <w:rsid w:val="00085902"/>
    <w:rsid w:val="000A7019"/>
    <w:rsid w:val="000B4AA3"/>
    <w:rsid w:val="000B526D"/>
    <w:rsid w:val="000C7FF9"/>
    <w:rsid w:val="000D2777"/>
    <w:rsid w:val="000D6734"/>
    <w:rsid w:val="000E156F"/>
    <w:rsid w:val="000E539F"/>
    <w:rsid w:val="000F18B8"/>
    <w:rsid w:val="00103872"/>
    <w:rsid w:val="00110DFD"/>
    <w:rsid w:val="0011247A"/>
    <w:rsid w:val="00112B94"/>
    <w:rsid w:val="00115DD4"/>
    <w:rsid w:val="00123854"/>
    <w:rsid w:val="0013441B"/>
    <w:rsid w:val="00141624"/>
    <w:rsid w:val="00143E14"/>
    <w:rsid w:val="00170294"/>
    <w:rsid w:val="00175646"/>
    <w:rsid w:val="0019181D"/>
    <w:rsid w:val="00197F94"/>
    <w:rsid w:val="001A6A39"/>
    <w:rsid w:val="001A6F20"/>
    <w:rsid w:val="001B6FCE"/>
    <w:rsid w:val="001C3FA7"/>
    <w:rsid w:val="001C6AAD"/>
    <w:rsid w:val="001D7120"/>
    <w:rsid w:val="0020290F"/>
    <w:rsid w:val="00204FDD"/>
    <w:rsid w:val="00211DA4"/>
    <w:rsid w:val="0021209F"/>
    <w:rsid w:val="00225231"/>
    <w:rsid w:val="002447FF"/>
    <w:rsid w:val="00247DE8"/>
    <w:rsid w:val="002554EB"/>
    <w:rsid w:val="00261FF2"/>
    <w:rsid w:val="00264AE0"/>
    <w:rsid w:val="0027227E"/>
    <w:rsid w:val="002742C9"/>
    <w:rsid w:val="00274509"/>
    <w:rsid w:val="0027561E"/>
    <w:rsid w:val="002831BB"/>
    <w:rsid w:val="00292950"/>
    <w:rsid w:val="002934F1"/>
    <w:rsid w:val="00297EB2"/>
    <w:rsid w:val="002A2A8F"/>
    <w:rsid w:val="002A5E88"/>
    <w:rsid w:val="002A6177"/>
    <w:rsid w:val="002B7924"/>
    <w:rsid w:val="002C69AC"/>
    <w:rsid w:val="002D2091"/>
    <w:rsid w:val="00310767"/>
    <w:rsid w:val="00311208"/>
    <w:rsid w:val="003141F8"/>
    <w:rsid w:val="00316A01"/>
    <w:rsid w:val="003209B3"/>
    <w:rsid w:val="00324858"/>
    <w:rsid w:val="00324FA0"/>
    <w:rsid w:val="00332B2C"/>
    <w:rsid w:val="00334B3B"/>
    <w:rsid w:val="003541AF"/>
    <w:rsid w:val="0035607B"/>
    <w:rsid w:val="0036432F"/>
    <w:rsid w:val="00376BC2"/>
    <w:rsid w:val="0038344E"/>
    <w:rsid w:val="003859B4"/>
    <w:rsid w:val="0039388F"/>
    <w:rsid w:val="0039550C"/>
    <w:rsid w:val="003B7A3C"/>
    <w:rsid w:val="003C03A8"/>
    <w:rsid w:val="003C129D"/>
    <w:rsid w:val="003D3538"/>
    <w:rsid w:val="003D7C2B"/>
    <w:rsid w:val="003E00B9"/>
    <w:rsid w:val="003E0457"/>
    <w:rsid w:val="003F04DC"/>
    <w:rsid w:val="003F0CFD"/>
    <w:rsid w:val="003F7726"/>
    <w:rsid w:val="004053EE"/>
    <w:rsid w:val="00422DFF"/>
    <w:rsid w:val="00426629"/>
    <w:rsid w:val="00435358"/>
    <w:rsid w:val="004423E7"/>
    <w:rsid w:val="00442E22"/>
    <w:rsid w:val="004540B5"/>
    <w:rsid w:val="00454EDD"/>
    <w:rsid w:val="004569BC"/>
    <w:rsid w:val="00464B61"/>
    <w:rsid w:val="00464DEF"/>
    <w:rsid w:val="0046587E"/>
    <w:rsid w:val="00467247"/>
    <w:rsid w:val="00470096"/>
    <w:rsid w:val="004751A4"/>
    <w:rsid w:val="004761F1"/>
    <w:rsid w:val="00476529"/>
    <w:rsid w:val="0048185D"/>
    <w:rsid w:val="004820EF"/>
    <w:rsid w:val="004855D9"/>
    <w:rsid w:val="004935D1"/>
    <w:rsid w:val="0049576B"/>
    <w:rsid w:val="004A03A7"/>
    <w:rsid w:val="004A2E31"/>
    <w:rsid w:val="004A3457"/>
    <w:rsid w:val="004A56D5"/>
    <w:rsid w:val="004A6F79"/>
    <w:rsid w:val="004A7BB8"/>
    <w:rsid w:val="004D3BF7"/>
    <w:rsid w:val="004E384B"/>
    <w:rsid w:val="004E565C"/>
    <w:rsid w:val="004F0655"/>
    <w:rsid w:val="004F5234"/>
    <w:rsid w:val="004F5F7A"/>
    <w:rsid w:val="00502A93"/>
    <w:rsid w:val="00502D0D"/>
    <w:rsid w:val="00506DFD"/>
    <w:rsid w:val="00522C28"/>
    <w:rsid w:val="00527F4B"/>
    <w:rsid w:val="00530449"/>
    <w:rsid w:val="00531DA8"/>
    <w:rsid w:val="00536424"/>
    <w:rsid w:val="00546887"/>
    <w:rsid w:val="0054798E"/>
    <w:rsid w:val="00550E6E"/>
    <w:rsid w:val="00554EBE"/>
    <w:rsid w:val="00555A28"/>
    <w:rsid w:val="00556577"/>
    <w:rsid w:val="00563127"/>
    <w:rsid w:val="005631C1"/>
    <w:rsid w:val="00573E32"/>
    <w:rsid w:val="00575724"/>
    <w:rsid w:val="00583459"/>
    <w:rsid w:val="005931DA"/>
    <w:rsid w:val="005A2555"/>
    <w:rsid w:val="005A3BC1"/>
    <w:rsid w:val="005B124B"/>
    <w:rsid w:val="005B2E57"/>
    <w:rsid w:val="005C083D"/>
    <w:rsid w:val="005E131E"/>
    <w:rsid w:val="005E31ED"/>
    <w:rsid w:val="005F091A"/>
    <w:rsid w:val="005F15C0"/>
    <w:rsid w:val="005F16FE"/>
    <w:rsid w:val="005F346E"/>
    <w:rsid w:val="005F34AE"/>
    <w:rsid w:val="006003A5"/>
    <w:rsid w:val="00606C52"/>
    <w:rsid w:val="0061252A"/>
    <w:rsid w:val="006139E5"/>
    <w:rsid w:val="00620DAC"/>
    <w:rsid w:val="00622C06"/>
    <w:rsid w:val="00624A08"/>
    <w:rsid w:val="00627F6B"/>
    <w:rsid w:val="00631BC6"/>
    <w:rsid w:val="0063204E"/>
    <w:rsid w:val="00636620"/>
    <w:rsid w:val="00640D97"/>
    <w:rsid w:val="006476D1"/>
    <w:rsid w:val="00653B09"/>
    <w:rsid w:val="00655F6A"/>
    <w:rsid w:val="00660BC0"/>
    <w:rsid w:val="00661548"/>
    <w:rsid w:val="006639F7"/>
    <w:rsid w:val="00664586"/>
    <w:rsid w:val="00664DB6"/>
    <w:rsid w:val="006756CE"/>
    <w:rsid w:val="00682450"/>
    <w:rsid w:val="006868C0"/>
    <w:rsid w:val="00686BED"/>
    <w:rsid w:val="00686F98"/>
    <w:rsid w:val="00696271"/>
    <w:rsid w:val="006971ED"/>
    <w:rsid w:val="006D2B1E"/>
    <w:rsid w:val="006F1C1C"/>
    <w:rsid w:val="007016A2"/>
    <w:rsid w:val="007045D4"/>
    <w:rsid w:val="007070E9"/>
    <w:rsid w:val="00707B66"/>
    <w:rsid w:val="007252FC"/>
    <w:rsid w:val="007279D3"/>
    <w:rsid w:val="0073249A"/>
    <w:rsid w:val="007509C5"/>
    <w:rsid w:val="00751E36"/>
    <w:rsid w:val="00753112"/>
    <w:rsid w:val="007546F6"/>
    <w:rsid w:val="0075720D"/>
    <w:rsid w:val="00757F48"/>
    <w:rsid w:val="00760EA6"/>
    <w:rsid w:val="0076518B"/>
    <w:rsid w:val="00777D32"/>
    <w:rsid w:val="007804CC"/>
    <w:rsid w:val="007A0308"/>
    <w:rsid w:val="007A4C29"/>
    <w:rsid w:val="007A6BAB"/>
    <w:rsid w:val="007A7FBB"/>
    <w:rsid w:val="007B6E90"/>
    <w:rsid w:val="007C74F6"/>
    <w:rsid w:val="007D1459"/>
    <w:rsid w:val="007D68DE"/>
    <w:rsid w:val="007E42B5"/>
    <w:rsid w:val="007E6132"/>
    <w:rsid w:val="007F4FCD"/>
    <w:rsid w:val="00806B58"/>
    <w:rsid w:val="00810052"/>
    <w:rsid w:val="00811A76"/>
    <w:rsid w:val="0081375F"/>
    <w:rsid w:val="008237DD"/>
    <w:rsid w:val="00833430"/>
    <w:rsid w:val="00840E60"/>
    <w:rsid w:val="00841EF9"/>
    <w:rsid w:val="008427EC"/>
    <w:rsid w:val="0086226F"/>
    <w:rsid w:val="008650A4"/>
    <w:rsid w:val="00873F25"/>
    <w:rsid w:val="00880E75"/>
    <w:rsid w:val="008857CF"/>
    <w:rsid w:val="0088718D"/>
    <w:rsid w:val="00890BC4"/>
    <w:rsid w:val="00890FB4"/>
    <w:rsid w:val="008927A3"/>
    <w:rsid w:val="00892C53"/>
    <w:rsid w:val="00895FEB"/>
    <w:rsid w:val="008962D5"/>
    <w:rsid w:val="008963D3"/>
    <w:rsid w:val="00896B31"/>
    <w:rsid w:val="00897BC8"/>
    <w:rsid w:val="008B16BB"/>
    <w:rsid w:val="008B50F2"/>
    <w:rsid w:val="008C0515"/>
    <w:rsid w:val="008C6788"/>
    <w:rsid w:val="008D0886"/>
    <w:rsid w:val="00900FD5"/>
    <w:rsid w:val="00901CFD"/>
    <w:rsid w:val="00902250"/>
    <w:rsid w:val="0090585D"/>
    <w:rsid w:val="00914AD1"/>
    <w:rsid w:val="00932CC1"/>
    <w:rsid w:val="0094205E"/>
    <w:rsid w:val="0094254D"/>
    <w:rsid w:val="009435E1"/>
    <w:rsid w:val="00944F2C"/>
    <w:rsid w:val="009457C0"/>
    <w:rsid w:val="009510EB"/>
    <w:rsid w:val="00955319"/>
    <w:rsid w:val="0095603B"/>
    <w:rsid w:val="009612E3"/>
    <w:rsid w:val="009759FB"/>
    <w:rsid w:val="00975CC2"/>
    <w:rsid w:val="00975E36"/>
    <w:rsid w:val="009814FD"/>
    <w:rsid w:val="00985158"/>
    <w:rsid w:val="00986A0F"/>
    <w:rsid w:val="00987514"/>
    <w:rsid w:val="00991875"/>
    <w:rsid w:val="009933BB"/>
    <w:rsid w:val="00995518"/>
    <w:rsid w:val="00996312"/>
    <w:rsid w:val="00997A5A"/>
    <w:rsid w:val="00997CA6"/>
    <w:rsid w:val="00997CF5"/>
    <w:rsid w:val="009A215F"/>
    <w:rsid w:val="009A2E9B"/>
    <w:rsid w:val="009A4682"/>
    <w:rsid w:val="009B2D82"/>
    <w:rsid w:val="009B6174"/>
    <w:rsid w:val="009C455B"/>
    <w:rsid w:val="009D021E"/>
    <w:rsid w:val="009D07CE"/>
    <w:rsid w:val="009D246A"/>
    <w:rsid w:val="009D2FD9"/>
    <w:rsid w:val="009D41FA"/>
    <w:rsid w:val="009D7B68"/>
    <w:rsid w:val="009E4F3D"/>
    <w:rsid w:val="009E5C3E"/>
    <w:rsid w:val="009E7E5C"/>
    <w:rsid w:val="009F49EC"/>
    <w:rsid w:val="009F57BA"/>
    <w:rsid w:val="00A004AD"/>
    <w:rsid w:val="00A00C5C"/>
    <w:rsid w:val="00A02D98"/>
    <w:rsid w:val="00A05031"/>
    <w:rsid w:val="00A054BA"/>
    <w:rsid w:val="00A16506"/>
    <w:rsid w:val="00A16C5F"/>
    <w:rsid w:val="00A35CF5"/>
    <w:rsid w:val="00A43730"/>
    <w:rsid w:val="00A522C0"/>
    <w:rsid w:val="00A54FCE"/>
    <w:rsid w:val="00A64063"/>
    <w:rsid w:val="00A705C6"/>
    <w:rsid w:val="00A75395"/>
    <w:rsid w:val="00A80CF7"/>
    <w:rsid w:val="00A83A1F"/>
    <w:rsid w:val="00A871E1"/>
    <w:rsid w:val="00A90C5C"/>
    <w:rsid w:val="00A976BC"/>
    <w:rsid w:val="00AA4154"/>
    <w:rsid w:val="00AA5EEE"/>
    <w:rsid w:val="00AB1D1A"/>
    <w:rsid w:val="00AC223E"/>
    <w:rsid w:val="00AC31BB"/>
    <w:rsid w:val="00AE203C"/>
    <w:rsid w:val="00AF4335"/>
    <w:rsid w:val="00B001B2"/>
    <w:rsid w:val="00B02D44"/>
    <w:rsid w:val="00B050A2"/>
    <w:rsid w:val="00B127DC"/>
    <w:rsid w:val="00B13561"/>
    <w:rsid w:val="00B16914"/>
    <w:rsid w:val="00B17F89"/>
    <w:rsid w:val="00B20144"/>
    <w:rsid w:val="00B30BB1"/>
    <w:rsid w:val="00B34D1E"/>
    <w:rsid w:val="00B36CD8"/>
    <w:rsid w:val="00B407E5"/>
    <w:rsid w:val="00B43183"/>
    <w:rsid w:val="00B437D7"/>
    <w:rsid w:val="00B4397C"/>
    <w:rsid w:val="00B47187"/>
    <w:rsid w:val="00B576CB"/>
    <w:rsid w:val="00B679DF"/>
    <w:rsid w:val="00B90D7B"/>
    <w:rsid w:val="00B91AB8"/>
    <w:rsid w:val="00B9352E"/>
    <w:rsid w:val="00B937C2"/>
    <w:rsid w:val="00BA1612"/>
    <w:rsid w:val="00BA31E8"/>
    <w:rsid w:val="00BB1B7A"/>
    <w:rsid w:val="00BB45EB"/>
    <w:rsid w:val="00BB68EE"/>
    <w:rsid w:val="00BC37BD"/>
    <w:rsid w:val="00BD5213"/>
    <w:rsid w:val="00BD5ADC"/>
    <w:rsid w:val="00BD6C17"/>
    <w:rsid w:val="00BE05A7"/>
    <w:rsid w:val="00BF0AE6"/>
    <w:rsid w:val="00BF0CCF"/>
    <w:rsid w:val="00C20A6C"/>
    <w:rsid w:val="00C2259F"/>
    <w:rsid w:val="00C242D3"/>
    <w:rsid w:val="00C24AA7"/>
    <w:rsid w:val="00C30427"/>
    <w:rsid w:val="00C36BC4"/>
    <w:rsid w:val="00C42143"/>
    <w:rsid w:val="00C4221D"/>
    <w:rsid w:val="00C42770"/>
    <w:rsid w:val="00C44FFD"/>
    <w:rsid w:val="00C46A1A"/>
    <w:rsid w:val="00C53228"/>
    <w:rsid w:val="00C54A84"/>
    <w:rsid w:val="00C5701F"/>
    <w:rsid w:val="00C6146A"/>
    <w:rsid w:val="00C66E4C"/>
    <w:rsid w:val="00C765D2"/>
    <w:rsid w:val="00C83A88"/>
    <w:rsid w:val="00C938AB"/>
    <w:rsid w:val="00C95215"/>
    <w:rsid w:val="00CA7469"/>
    <w:rsid w:val="00CB39E5"/>
    <w:rsid w:val="00CC292E"/>
    <w:rsid w:val="00CF3763"/>
    <w:rsid w:val="00CF63CE"/>
    <w:rsid w:val="00D02EF1"/>
    <w:rsid w:val="00D1576B"/>
    <w:rsid w:val="00D16198"/>
    <w:rsid w:val="00D21554"/>
    <w:rsid w:val="00D23424"/>
    <w:rsid w:val="00D27782"/>
    <w:rsid w:val="00D32B0F"/>
    <w:rsid w:val="00D338CF"/>
    <w:rsid w:val="00D34337"/>
    <w:rsid w:val="00D662BB"/>
    <w:rsid w:val="00D76129"/>
    <w:rsid w:val="00D84D64"/>
    <w:rsid w:val="00D9788E"/>
    <w:rsid w:val="00D97A9C"/>
    <w:rsid w:val="00DA756B"/>
    <w:rsid w:val="00DB2A70"/>
    <w:rsid w:val="00DC0411"/>
    <w:rsid w:val="00DE0513"/>
    <w:rsid w:val="00E108C7"/>
    <w:rsid w:val="00E1172D"/>
    <w:rsid w:val="00E14E65"/>
    <w:rsid w:val="00E223C2"/>
    <w:rsid w:val="00E31578"/>
    <w:rsid w:val="00E31AD8"/>
    <w:rsid w:val="00E64314"/>
    <w:rsid w:val="00E704B9"/>
    <w:rsid w:val="00E70797"/>
    <w:rsid w:val="00E84ADA"/>
    <w:rsid w:val="00E876E0"/>
    <w:rsid w:val="00EC32FE"/>
    <w:rsid w:val="00ED55DC"/>
    <w:rsid w:val="00ED676A"/>
    <w:rsid w:val="00ED6863"/>
    <w:rsid w:val="00ED7EEC"/>
    <w:rsid w:val="00EE24F0"/>
    <w:rsid w:val="00F01AE7"/>
    <w:rsid w:val="00F12D35"/>
    <w:rsid w:val="00F17342"/>
    <w:rsid w:val="00F25B6D"/>
    <w:rsid w:val="00F30CCC"/>
    <w:rsid w:val="00F34C26"/>
    <w:rsid w:val="00F3561D"/>
    <w:rsid w:val="00F42ECF"/>
    <w:rsid w:val="00F510F0"/>
    <w:rsid w:val="00F55A7E"/>
    <w:rsid w:val="00F602B9"/>
    <w:rsid w:val="00F614BB"/>
    <w:rsid w:val="00F64BBB"/>
    <w:rsid w:val="00F65E0B"/>
    <w:rsid w:val="00F65FC5"/>
    <w:rsid w:val="00F739C2"/>
    <w:rsid w:val="00F77AF3"/>
    <w:rsid w:val="00F77E40"/>
    <w:rsid w:val="00F87892"/>
    <w:rsid w:val="00F90B41"/>
    <w:rsid w:val="00F95230"/>
    <w:rsid w:val="00F95511"/>
    <w:rsid w:val="00FA1CF4"/>
    <w:rsid w:val="00FA37E2"/>
    <w:rsid w:val="00FA5465"/>
    <w:rsid w:val="00FA64C4"/>
    <w:rsid w:val="00FA6591"/>
    <w:rsid w:val="00FB0BE9"/>
    <w:rsid w:val="00FB387D"/>
    <w:rsid w:val="00FB512A"/>
    <w:rsid w:val="00FC164A"/>
    <w:rsid w:val="00FC2B2C"/>
    <w:rsid w:val="00FC47FD"/>
    <w:rsid w:val="00FC4992"/>
    <w:rsid w:val="00FD6313"/>
    <w:rsid w:val="00FF0BF9"/>
    <w:rsid w:val="00FF3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004F1AF-2BC8-4DCC-B9B8-C6208627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Calibri" w:hAnsi="Calibri" w:cs="Calibri"/>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Title"/>
    <w:basedOn w:val="a"/>
    <w:next w:val="a5"/>
    <w:qFormat/>
    <w:pPr>
      <w:keepNext/>
      <w:spacing w:before="240" w:after="120"/>
    </w:pPr>
    <w:rPr>
      <w:rFonts w:ascii="Liberation Sans" w:eastAsia="Noto Sans CJK TC Regular" w:hAnsi="Liberation Sans" w:cs="Noto Sans CJK TC Regular"/>
      <w:sz w:val="28"/>
      <w:szCs w:val="28"/>
    </w:rPr>
  </w:style>
  <w:style w:type="paragraph" w:styleId="a5">
    <w:name w:val="Body Text"/>
    <w:basedOn w:val="a"/>
    <w:pPr>
      <w:spacing w:after="140" w:line="288" w:lineRule="auto"/>
    </w:pPr>
  </w:style>
  <w:style w:type="paragraph" w:styleId="a6">
    <w:name w:val="List"/>
    <w:basedOn w:val="a5"/>
    <w:rPr>
      <w:rFonts w:cs="Noto Sans CJK TC Regular"/>
    </w:rPr>
  </w:style>
  <w:style w:type="paragraph" w:styleId="a7">
    <w:name w:val="caption"/>
    <w:basedOn w:val="a"/>
    <w:qFormat/>
    <w:pPr>
      <w:suppressLineNumbers/>
      <w:spacing w:before="120" w:after="120"/>
    </w:pPr>
    <w:rPr>
      <w:rFonts w:cs="Noto Sans CJK TC Regular"/>
      <w:i/>
      <w:iCs/>
      <w:szCs w:val="24"/>
    </w:rPr>
  </w:style>
  <w:style w:type="paragraph" w:customStyle="1" w:styleId="a8">
    <w:name w:val="索引"/>
    <w:basedOn w:val="a"/>
    <w:pPr>
      <w:suppressLineNumbers/>
    </w:pPr>
    <w:rPr>
      <w:rFonts w:cs="Noto Sans CJK TC Regular"/>
    </w:rPr>
  </w:style>
  <w:style w:type="paragraph" w:styleId="a9">
    <w:name w:val="footer"/>
    <w:basedOn w:val="a"/>
    <w:link w:val="aa"/>
    <w:uiPriority w:val="99"/>
    <w:pPr>
      <w:tabs>
        <w:tab w:val="center" w:pos="4153"/>
        <w:tab w:val="right" w:pos="8306"/>
      </w:tabs>
      <w:snapToGrid w:val="0"/>
    </w:pPr>
    <w:rPr>
      <w:sz w:val="20"/>
      <w:szCs w:val="20"/>
    </w:rPr>
  </w:style>
  <w:style w:type="paragraph" w:customStyle="1" w:styleId="ab">
    <w:name w:val="表格內容"/>
    <w:basedOn w:val="a"/>
    <w:pPr>
      <w:suppressLineNumbers/>
    </w:pPr>
  </w:style>
  <w:style w:type="paragraph" w:customStyle="1" w:styleId="ac">
    <w:name w:val="表格標題"/>
    <w:basedOn w:val="ab"/>
    <w:pPr>
      <w:jc w:val="center"/>
    </w:pPr>
    <w:rPr>
      <w:b/>
      <w:bCs/>
    </w:rPr>
  </w:style>
  <w:style w:type="paragraph" w:customStyle="1" w:styleId="ad">
    <w:name w:val="框架內容"/>
    <w:basedOn w:val="a"/>
  </w:style>
  <w:style w:type="paragraph" w:styleId="ae">
    <w:name w:val="header"/>
    <w:basedOn w:val="a"/>
    <w:link w:val="af"/>
    <w:uiPriority w:val="99"/>
    <w:unhideWhenUsed/>
    <w:rsid w:val="00BD6C17"/>
    <w:pPr>
      <w:tabs>
        <w:tab w:val="center" w:pos="4153"/>
        <w:tab w:val="right" w:pos="8306"/>
      </w:tabs>
      <w:snapToGrid w:val="0"/>
    </w:pPr>
    <w:rPr>
      <w:sz w:val="20"/>
      <w:szCs w:val="20"/>
    </w:rPr>
  </w:style>
  <w:style w:type="character" w:customStyle="1" w:styleId="af">
    <w:name w:val="頁首 字元"/>
    <w:link w:val="ae"/>
    <w:uiPriority w:val="99"/>
    <w:rsid w:val="00BD6C17"/>
    <w:rPr>
      <w:rFonts w:ascii="Calibri" w:hAnsi="Calibri" w:cs="Calibri"/>
      <w:kern w:val="1"/>
    </w:rPr>
  </w:style>
  <w:style w:type="character" w:styleId="af0">
    <w:name w:val="line number"/>
    <w:basedOn w:val="a0"/>
    <w:uiPriority w:val="99"/>
    <w:semiHidden/>
    <w:unhideWhenUsed/>
    <w:rsid w:val="0021209F"/>
  </w:style>
  <w:style w:type="character" w:customStyle="1" w:styleId="aa">
    <w:name w:val="頁尾 字元"/>
    <w:basedOn w:val="a0"/>
    <w:link w:val="a9"/>
    <w:uiPriority w:val="99"/>
    <w:rsid w:val="0086226F"/>
    <w:rPr>
      <w:rFonts w:ascii="Calibri" w:hAnsi="Calibri" w:cs="Calibri"/>
      <w:kern w:val="1"/>
    </w:rPr>
  </w:style>
  <w:style w:type="paragraph" w:styleId="HTML">
    <w:name w:val="HTML Preformatted"/>
    <w:basedOn w:val="a"/>
    <w:link w:val="HTML0"/>
    <w:rsid w:val="00945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9457C0"/>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65266-39A5-46E7-A2FE-2BF878D8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441</Words>
  <Characters>2519</Characters>
  <Application>Microsoft Office Word</Application>
  <DocSecurity>0</DocSecurity>
  <Lines>20</Lines>
  <Paragraphs>5</Paragraphs>
  <ScaleCrop>false</ScaleCrop>
  <Company>Toshiba</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dc:creator>
  <cp:lastModifiedBy>Administrator</cp:lastModifiedBy>
  <cp:revision>3</cp:revision>
  <cp:lastPrinted>2018-02-23T04:16:00Z</cp:lastPrinted>
  <dcterms:created xsi:type="dcterms:W3CDTF">2018-03-09T03:17:00Z</dcterms:created>
  <dcterms:modified xsi:type="dcterms:W3CDTF">2018-03-09T08:19:00Z</dcterms:modified>
</cp:coreProperties>
</file>