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2" w:type="dxa"/>
        <w:tblInd w:w="-152" w:type="dxa"/>
        <w:tblCellMar>
          <w:left w:w="28" w:type="dxa"/>
          <w:right w:w="28" w:type="dxa"/>
        </w:tblCellMar>
        <w:tblLook w:val="0000"/>
      </w:tblPr>
      <w:tblGrid>
        <w:gridCol w:w="2390"/>
        <w:gridCol w:w="6812"/>
      </w:tblGrid>
      <w:tr w:rsidR="002179F8" w:rsidRPr="001F2C7C" w:rsidTr="00310B7C">
        <w:trPr>
          <w:trHeight w:val="1971"/>
        </w:trPr>
        <w:tc>
          <w:tcPr>
            <w:tcW w:w="2390" w:type="dxa"/>
            <w:vAlign w:val="center"/>
          </w:tcPr>
          <w:p w:rsidR="002179F8" w:rsidRPr="001F2C7C" w:rsidRDefault="002179F8" w:rsidP="00310B7C">
            <w:pPr>
              <w:jc w:val="center"/>
              <w:rPr>
                <w:rFonts w:ascii="華康隸書體W7" w:eastAsia="華康隸書體W7"/>
                <w:b/>
                <w:sz w:val="56"/>
                <w:szCs w:val="56"/>
              </w:rPr>
            </w:pPr>
            <w:r>
              <w:rPr>
                <w:rFonts w:hint="eastAsia"/>
              </w:rPr>
              <w:t xml:space="preserve">   </w:t>
            </w:r>
            <w:r w:rsidR="00134F8D" w:rsidRPr="00134F8D">
              <w:rPr>
                <w:noProof/>
              </w:rPr>
              <w:drawing>
                <wp:inline distT="0" distB="0" distL="0" distR="0">
                  <wp:extent cx="1223010" cy="1257300"/>
                  <wp:effectExtent l="19050" t="0" r="0" b="0"/>
                  <wp:docPr id="1" name="圖片 1" descr="智慧財產法院院徽R"/>
                  <wp:cNvGraphicFramePr/>
                  <a:graphic xmlns:a="http://schemas.openxmlformats.org/drawingml/2006/main">
                    <a:graphicData uri="http://schemas.openxmlformats.org/drawingml/2006/picture">
                      <pic:pic xmlns:pic="http://schemas.openxmlformats.org/drawingml/2006/picture">
                        <pic:nvPicPr>
                          <pic:cNvPr id="5123" name="Picture 8" descr="智慧財產法院院徽R"/>
                          <pic:cNvPicPr>
                            <a:picLocks noChangeAspect="1" noChangeArrowheads="1"/>
                          </pic:cNvPicPr>
                        </pic:nvPicPr>
                        <pic:blipFill>
                          <a:blip r:embed="rId6" cstate="print"/>
                          <a:srcRect/>
                          <a:stretch>
                            <a:fillRect/>
                          </a:stretch>
                        </pic:blipFill>
                        <pic:spPr bwMode="auto">
                          <a:xfrm>
                            <a:off x="0" y="0"/>
                            <a:ext cx="1224776" cy="1259116"/>
                          </a:xfrm>
                          <a:prstGeom prst="rect">
                            <a:avLst/>
                          </a:prstGeom>
                          <a:noFill/>
                          <a:ln w="9525">
                            <a:noFill/>
                            <a:miter lim="800000"/>
                            <a:headEnd/>
                            <a:tailEnd/>
                          </a:ln>
                        </pic:spPr>
                      </pic:pic>
                    </a:graphicData>
                  </a:graphic>
                </wp:inline>
              </w:drawing>
            </w:r>
          </w:p>
        </w:tc>
        <w:tc>
          <w:tcPr>
            <w:tcW w:w="6812" w:type="dxa"/>
          </w:tcPr>
          <w:p w:rsidR="002179F8" w:rsidRPr="004E4C64" w:rsidRDefault="002179F8" w:rsidP="00310B7C">
            <w:pPr>
              <w:ind w:firstLineChars="91" w:firstLine="510"/>
              <w:rPr>
                <w:rFonts w:ascii="標楷體" w:eastAsia="標楷體" w:hAnsi="標楷體"/>
                <w:b/>
                <w:sz w:val="36"/>
                <w:szCs w:val="36"/>
              </w:rPr>
            </w:pPr>
            <w:r>
              <w:rPr>
                <w:rFonts w:ascii="標楷體" w:eastAsia="標楷體" w:hAnsi="標楷體" w:hint="eastAsia"/>
                <w:b/>
                <w:sz w:val="56"/>
                <w:szCs w:val="56"/>
              </w:rPr>
              <w:t>智慧財產</w:t>
            </w:r>
            <w:r w:rsidRPr="004E4C64">
              <w:rPr>
                <w:rFonts w:ascii="標楷體" w:eastAsia="標楷體" w:hAnsi="標楷體" w:hint="eastAsia"/>
                <w:b/>
                <w:sz w:val="56"/>
                <w:szCs w:val="56"/>
              </w:rPr>
              <w:t>法院</w:t>
            </w:r>
            <w:r w:rsidRPr="002179F8">
              <w:rPr>
                <w:rFonts w:ascii="標楷體" w:eastAsia="標楷體" w:hAnsi="標楷體" w:hint="eastAsia"/>
                <w:b/>
                <w:sz w:val="56"/>
                <w:szCs w:val="56"/>
              </w:rPr>
              <w:t>新聞稿</w:t>
            </w:r>
          </w:p>
          <w:p w:rsidR="002179F8" w:rsidRDefault="002179F8" w:rsidP="00310B7C">
            <w:pPr>
              <w:spacing w:line="0" w:lineRule="atLeast"/>
              <w:ind w:firstLineChars="375" w:firstLine="1050"/>
              <w:jc w:val="both"/>
              <w:rPr>
                <w:rFonts w:ascii="標楷體" w:eastAsia="標楷體" w:hAnsi="標楷體"/>
                <w:sz w:val="28"/>
                <w:szCs w:val="28"/>
              </w:rPr>
            </w:pPr>
            <w:r>
              <w:rPr>
                <w:rFonts w:ascii="標楷體" w:eastAsia="標楷體" w:hAnsi="標楷體" w:hint="eastAsia"/>
                <w:sz w:val="28"/>
                <w:szCs w:val="28"/>
              </w:rPr>
              <w:t>發稿日期：106年</w:t>
            </w:r>
            <w:r w:rsidR="00252D79">
              <w:rPr>
                <w:rFonts w:ascii="標楷體" w:eastAsia="標楷體" w:hAnsi="標楷體" w:hint="eastAsia"/>
                <w:sz w:val="28"/>
                <w:szCs w:val="28"/>
              </w:rPr>
              <w:t xml:space="preserve"> 12</w:t>
            </w:r>
            <w:r>
              <w:rPr>
                <w:rFonts w:ascii="標楷體" w:eastAsia="標楷體" w:hAnsi="標楷體" w:hint="eastAsia"/>
                <w:sz w:val="28"/>
                <w:szCs w:val="28"/>
              </w:rPr>
              <w:t>月</w:t>
            </w:r>
            <w:r w:rsidR="00252D79">
              <w:rPr>
                <w:rFonts w:ascii="標楷體" w:eastAsia="標楷體" w:hAnsi="標楷體" w:hint="eastAsia"/>
                <w:sz w:val="28"/>
                <w:szCs w:val="28"/>
              </w:rPr>
              <w:t>7</w:t>
            </w:r>
            <w:r>
              <w:rPr>
                <w:rFonts w:ascii="標楷體" w:eastAsia="標楷體" w:hAnsi="標楷體" w:hint="eastAsia"/>
                <w:sz w:val="28"/>
                <w:szCs w:val="28"/>
              </w:rPr>
              <w:t>日</w:t>
            </w:r>
          </w:p>
          <w:p w:rsidR="002179F8" w:rsidRDefault="002179F8" w:rsidP="00310B7C">
            <w:pPr>
              <w:spacing w:line="0" w:lineRule="atLeast"/>
              <w:ind w:firstLineChars="375" w:firstLine="1050"/>
              <w:jc w:val="both"/>
              <w:rPr>
                <w:rFonts w:ascii="標楷體" w:eastAsia="標楷體" w:hAnsi="標楷體"/>
                <w:sz w:val="28"/>
                <w:szCs w:val="28"/>
              </w:rPr>
            </w:pPr>
            <w:r>
              <w:rPr>
                <w:rFonts w:ascii="標楷體" w:eastAsia="標楷體" w:hAnsi="標楷體" w:hint="eastAsia"/>
                <w:sz w:val="28"/>
                <w:szCs w:val="28"/>
              </w:rPr>
              <w:t>發稿單位：行政庭長室</w:t>
            </w:r>
          </w:p>
          <w:p w:rsidR="002179F8" w:rsidRDefault="002179F8" w:rsidP="00310B7C">
            <w:pPr>
              <w:spacing w:line="0" w:lineRule="atLeast"/>
              <w:ind w:firstLineChars="375" w:firstLine="1050"/>
              <w:jc w:val="both"/>
              <w:rPr>
                <w:rFonts w:ascii="標楷體" w:eastAsia="標楷體" w:hAnsi="標楷體"/>
                <w:sz w:val="28"/>
                <w:szCs w:val="28"/>
              </w:rPr>
            </w:pPr>
            <w:r>
              <w:rPr>
                <w:rFonts w:ascii="標楷體" w:eastAsia="標楷體" w:hAnsi="標楷體" w:hint="eastAsia"/>
                <w:sz w:val="28"/>
                <w:szCs w:val="28"/>
              </w:rPr>
              <w:t>連 絡 人：行政庭長  陳忠行</w:t>
            </w:r>
          </w:p>
          <w:p w:rsidR="002179F8" w:rsidRPr="001F2C7C" w:rsidRDefault="002179F8" w:rsidP="004B1492">
            <w:pPr>
              <w:spacing w:line="0" w:lineRule="atLeast"/>
              <w:ind w:firstLineChars="375" w:firstLine="976"/>
              <w:jc w:val="both"/>
              <w:rPr>
                <w:rFonts w:ascii="華康隸書體W7"/>
                <w:b/>
                <w:sz w:val="56"/>
                <w:szCs w:val="56"/>
              </w:rPr>
            </w:pPr>
            <w:r w:rsidRPr="00F57DD8">
              <w:rPr>
                <w:rFonts w:ascii="標楷體" w:eastAsia="標楷體" w:hAnsi="標楷體" w:hint="eastAsia"/>
                <w:w w:val="93"/>
                <w:kern w:val="0"/>
                <w:sz w:val="28"/>
                <w:szCs w:val="28"/>
                <w:fitText w:val="1400" w:id="1423184128"/>
              </w:rPr>
              <w:t>連絡電話</w:t>
            </w:r>
            <w:r w:rsidRPr="00F57DD8">
              <w:rPr>
                <w:rFonts w:ascii="標楷體" w:eastAsia="標楷體" w:hAnsi="標楷體" w:hint="eastAsia"/>
                <w:spacing w:val="22"/>
                <w:w w:val="93"/>
                <w:kern w:val="0"/>
                <w:sz w:val="28"/>
                <w:szCs w:val="28"/>
                <w:fitText w:val="1400" w:id="1423184128"/>
              </w:rPr>
              <w:t>：</w:t>
            </w:r>
            <w:r>
              <w:rPr>
                <w:rFonts w:ascii="標楷體" w:eastAsia="標楷體" w:hAnsi="標楷體" w:hint="eastAsia"/>
                <w:sz w:val="28"/>
                <w:szCs w:val="28"/>
              </w:rPr>
              <w:t>02-22726696#513</w:t>
            </w:r>
            <w:r>
              <w:rPr>
                <w:rFonts w:ascii="標楷體" w:eastAsia="標楷體" w:hAnsi="標楷體" w:hint="eastAsia"/>
              </w:rPr>
              <w:t xml:space="preserve">     編號：</w:t>
            </w:r>
            <w:r w:rsidR="00505E16">
              <w:rPr>
                <w:rFonts w:ascii="標楷體" w:eastAsia="標楷體" w:hAnsi="標楷體" w:hint="eastAsia"/>
              </w:rPr>
              <w:t>106-</w:t>
            </w:r>
            <w:r w:rsidR="00252D79">
              <w:rPr>
                <w:rFonts w:ascii="標楷體" w:eastAsia="標楷體" w:hAnsi="標楷體" w:hint="eastAsia"/>
              </w:rPr>
              <w:t>5</w:t>
            </w:r>
          </w:p>
        </w:tc>
      </w:tr>
    </w:tbl>
    <w:p w:rsidR="002179F8" w:rsidRDefault="00A505E9" w:rsidP="008B5A92">
      <w:pPr>
        <w:jc w:val="both"/>
        <w:rPr>
          <w:rFonts w:ascii="Arial" w:eastAsia="標楷體" w:hAnsi="標楷體" w:cs="Arial"/>
          <w:b/>
          <w:sz w:val="28"/>
          <w:szCs w:val="28"/>
        </w:rPr>
      </w:pPr>
      <w:r w:rsidRPr="00A505E9">
        <w:rPr>
          <w:rFonts w:ascii="標楷體" w:eastAsia="標楷體" w:hAnsi="標楷體"/>
          <w:b/>
          <w:sz w:val="32"/>
          <w:szCs w:val="32"/>
        </w:rPr>
        <w:pict>
          <v:line id="_x0000_s1026" style="position:absolute;left:0;text-align:left;flip:y;z-index:251660288;mso-position-horizontal-relative:text;mso-position-vertical-relative:text" from="0,15pt" to="423pt,17.85pt" strokeweight="2.25pt"/>
        </w:pict>
      </w:r>
    </w:p>
    <w:p w:rsidR="00371F79" w:rsidRPr="00503252" w:rsidRDefault="00371F79" w:rsidP="00AC69F8">
      <w:pPr>
        <w:kinsoku w:val="0"/>
        <w:overflowPunct w:val="0"/>
        <w:jc w:val="both"/>
        <w:rPr>
          <w:rFonts w:ascii="Arial" w:eastAsia="標楷體" w:hAnsi="Arial" w:cs="Arial"/>
          <w:b/>
          <w:sz w:val="28"/>
          <w:szCs w:val="28"/>
        </w:rPr>
      </w:pPr>
    </w:p>
    <w:p w:rsidR="0040721D" w:rsidRPr="00266697" w:rsidRDefault="00872A5C" w:rsidP="00266697">
      <w:pPr>
        <w:rPr>
          <w:rFonts w:ascii="標楷體" w:eastAsia="標楷體" w:hAnsi="標楷體" w:cs="Arial"/>
          <w:szCs w:val="24"/>
        </w:rPr>
      </w:pPr>
      <w:r w:rsidRPr="00266697">
        <w:rPr>
          <w:rFonts w:ascii="標楷體" w:eastAsia="標楷體" w:hAnsi="標楷體" w:hint="eastAsia"/>
          <w:b/>
          <w:sz w:val="28"/>
          <w:szCs w:val="28"/>
        </w:rPr>
        <w:t>智慧財產法院102 年度民營訴字第6 號營業秘密損害賠償等</w:t>
      </w:r>
      <w:r w:rsidR="00B07C65">
        <w:rPr>
          <w:rFonts w:ascii="標楷體" w:eastAsia="標楷體" w:hAnsi="標楷體" w:hint="eastAsia"/>
          <w:b/>
          <w:sz w:val="28"/>
          <w:szCs w:val="28"/>
        </w:rPr>
        <w:t>民事</w:t>
      </w:r>
      <w:r w:rsidRPr="00266697">
        <w:rPr>
          <w:rFonts w:ascii="標楷體" w:eastAsia="標楷體" w:hAnsi="標楷體" w:hint="eastAsia"/>
          <w:b/>
          <w:sz w:val="28"/>
          <w:szCs w:val="28"/>
        </w:rPr>
        <w:t>事件</w:t>
      </w:r>
      <w:r w:rsidR="00B07C65">
        <w:rPr>
          <w:rFonts w:ascii="標楷體" w:eastAsia="標楷體" w:hAnsi="標楷體" w:hint="eastAsia"/>
          <w:b/>
          <w:sz w:val="28"/>
          <w:szCs w:val="28"/>
        </w:rPr>
        <w:t>第一審判決</w:t>
      </w:r>
      <w:r w:rsidRPr="00266697">
        <w:rPr>
          <w:rFonts w:ascii="標楷體" w:eastAsia="標楷體" w:hAnsi="標楷體" w:hint="eastAsia"/>
          <w:b/>
          <w:sz w:val="28"/>
          <w:szCs w:val="28"/>
        </w:rPr>
        <w:t>新聞稿：</w:t>
      </w:r>
      <w:r w:rsidR="00266697" w:rsidRPr="00266697">
        <w:rPr>
          <w:rFonts w:ascii="標楷體" w:eastAsia="標楷體" w:hAnsi="標楷體" w:cs="Arial"/>
          <w:szCs w:val="24"/>
        </w:rPr>
        <w:t xml:space="preserve"> </w:t>
      </w:r>
    </w:p>
    <w:p w:rsidR="00872A5C" w:rsidRPr="00266697" w:rsidRDefault="00872A5C" w:rsidP="00872A5C">
      <w:pPr>
        <w:rPr>
          <w:rFonts w:ascii="標楷體" w:eastAsia="標楷體" w:hAnsi="標楷體"/>
          <w:b/>
        </w:rPr>
      </w:pPr>
      <w:r w:rsidRPr="00266697">
        <w:rPr>
          <w:rFonts w:ascii="標楷體" w:eastAsia="標楷體" w:hAnsi="標楷體"/>
          <w:b/>
        </w:rPr>
        <w:t>壹、本件判決主文</w:t>
      </w:r>
    </w:p>
    <w:p w:rsidR="00872A5C" w:rsidRPr="00266697" w:rsidRDefault="00872A5C" w:rsidP="00872A5C">
      <w:pPr>
        <w:ind w:left="480" w:hangingChars="200" w:hanging="480"/>
        <w:rPr>
          <w:rFonts w:ascii="標楷體" w:eastAsia="標楷體" w:hAnsi="標楷體"/>
        </w:rPr>
      </w:pPr>
      <w:r w:rsidRPr="00266697">
        <w:rPr>
          <w:rFonts w:ascii="標楷體" w:eastAsia="標楷體" w:hAnsi="標楷體" w:hint="eastAsia"/>
        </w:rPr>
        <w:t>一、被告先進光電科技股份有限公司、林忠和、羅章浚、鄒博丞（原名鄒永烽）、謝炘穎、朱威丞、翁宗震（原名翁偉哲）等不得自行或委託第三人取得、使用、洩漏、修改、改良如本院中間判決附表二編號1 至7 之原告營業秘密（除中間判決附表二編號5.2.3 「膠水儲存裝置」以外）。</w:t>
      </w:r>
    </w:p>
    <w:p w:rsidR="00872A5C" w:rsidRPr="00266697" w:rsidRDefault="00872A5C" w:rsidP="00872A5C">
      <w:pPr>
        <w:ind w:left="425" w:hangingChars="177" w:hanging="425"/>
        <w:rPr>
          <w:rFonts w:ascii="標楷體" w:eastAsia="標楷體" w:hAnsi="標楷體"/>
        </w:rPr>
      </w:pPr>
      <w:r w:rsidRPr="00266697">
        <w:rPr>
          <w:rFonts w:ascii="標楷體" w:eastAsia="標楷體" w:hAnsi="標楷體" w:hint="eastAsia"/>
        </w:rPr>
        <w:t>二、確認中華民國第M438320 號「點膠針頭結構」新型專利、中華民國第M438469號「遮光片送料機構」新型專利之專利申請權及專利權，均為原告所有。</w:t>
      </w:r>
    </w:p>
    <w:p w:rsidR="00872A5C" w:rsidRPr="00266697" w:rsidRDefault="00872A5C" w:rsidP="00872A5C">
      <w:pPr>
        <w:ind w:left="480" w:hangingChars="200" w:hanging="480"/>
        <w:rPr>
          <w:rFonts w:ascii="標楷體" w:eastAsia="標楷體" w:hAnsi="標楷體"/>
        </w:rPr>
      </w:pPr>
      <w:r w:rsidRPr="00266697">
        <w:rPr>
          <w:rFonts w:ascii="標楷體" w:eastAsia="標楷體" w:hAnsi="標楷體" w:hint="eastAsia"/>
        </w:rPr>
        <w:t>三、被告先進光電科技股份有限公司、林忠和、羅章浚、鄒博丞（原名鄒永烽）、謝炘穎、朱威丞、翁宗震（原名翁偉哲）應連帶給付原告新臺幣壹拾伍億貳仟貳佰肆拾柒萬零陸佰參拾玖元，及被告先進光電科技股份有限公司、林忠和、羅章浚、鄒博丞（原名鄒永烽）、謝炘穎、朱威丞自民國102 年11月1 日起，被告翁宗震（原名翁偉哲）自民國102 年11月15日起，均至清償日止，按年息百分之五計算之利息。</w:t>
      </w:r>
    </w:p>
    <w:p w:rsidR="00872A5C" w:rsidRPr="00266697" w:rsidRDefault="00872A5C" w:rsidP="00872A5C">
      <w:pPr>
        <w:rPr>
          <w:rFonts w:ascii="標楷體" w:eastAsia="標楷體" w:hAnsi="標楷體"/>
        </w:rPr>
      </w:pPr>
      <w:r w:rsidRPr="00266697">
        <w:rPr>
          <w:rFonts w:ascii="標楷體" w:eastAsia="標楷體" w:hAnsi="標楷體" w:hint="eastAsia"/>
        </w:rPr>
        <w:t xml:space="preserve">四、原告其餘之訴駁回。 </w:t>
      </w:r>
    </w:p>
    <w:p w:rsidR="00872A5C" w:rsidRPr="00266697" w:rsidRDefault="00872A5C" w:rsidP="00872A5C">
      <w:pPr>
        <w:rPr>
          <w:rFonts w:ascii="標楷體" w:eastAsia="標楷體" w:hAnsi="標楷體"/>
        </w:rPr>
      </w:pPr>
      <w:r w:rsidRPr="00266697">
        <w:rPr>
          <w:rFonts w:ascii="標楷體" w:eastAsia="標楷體" w:hAnsi="標楷體" w:hint="eastAsia"/>
        </w:rPr>
        <w:t>五、訴訟費用由被告連帶負擔百分之九十八，餘由原告負擔。</w:t>
      </w:r>
    </w:p>
    <w:p w:rsidR="00872A5C" w:rsidRPr="00266697" w:rsidRDefault="00872A5C" w:rsidP="00872A5C">
      <w:pPr>
        <w:ind w:left="480" w:hangingChars="200" w:hanging="480"/>
        <w:rPr>
          <w:rFonts w:ascii="標楷體" w:eastAsia="標楷體" w:hAnsi="標楷體"/>
        </w:rPr>
      </w:pPr>
      <w:r w:rsidRPr="00266697">
        <w:rPr>
          <w:rFonts w:ascii="標楷體" w:eastAsia="標楷體" w:hAnsi="標楷體" w:hint="eastAsia"/>
        </w:rPr>
        <w:t xml:space="preserve">六、本判決第三項，於原告以新臺幣柒億柒仟萬元或等值之兆豐商業銀行寶成分行無記名可轉讓定期存單，為被告供擔保後，得假執行。但被告如以新臺幣壹拾伍億貳仟貳佰肆拾柒萬零陸佰參拾玖元為原告供擔保後，得免為假執行。 </w:t>
      </w:r>
      <w:r w:rsidRPr="00266697">
        <w:rPr>
          <w:rFonts w:ascii="標楷體" w:eastAsia="標楷體" w:hAnsi="標楷體"/>
        </w:rPr>
        <w:cr/>
      </w:r>
    </w:p>
    <w:p w:rsidR="00872A5C" w:rsidRPr="00266697" w:rsidRDefault="00872A5C" w:rsidP="00872A5C">
      <w:pPr>
        <w:rPr>
          <w:rFonts w:ascii="標楷體" w:eastAsia="標楷體" w:hAnsi="標楷體"/>
          <w:b/>
        </w:rPr>
      </w:pPr>
      <w:r w:rsidRPr="00266697">
        <w:rPr>
          <w:rFonts w:ascii="標楷體" w:eastAsia="標楷體" w:hAnsi="標楷體" w:hint="eastAsia"/>
          <w:b/>
        </w:rPr>
        <w:t>貳、事實及理由概要</w:t>
      </w:r>
    </w:p>
    <w:p w:rsidR="00872A5C" w:rsidRPr="00266697" w:rsidRDefault="00872A5C" w:rsidP="00872A5C">
      <w:pPr>
        <w:ind w:left="480" w:hangingChars="200" w:hanging="480"/>
        <w:rPr>
          <w:rFonts w:ascii="標楷體" w:eastAsia="標楷體" w:hAnsi="標楷體"/>
        </w:rPr>
      </w:pPr>
      <w:r w:rsidRPr="00266697">
        <w:rPr>
          <w:rFonts w:ascii="標楷體" w:eastAsia="標楷體" w:hAnsi="標楷體" w:hint="eastAsia"/>
        </w:rPr>
        <w:t>一、本院102 年度民營訴字第6 號營業秘密損害賠償等事件，原告大立光電股份有限公司起訴主張，原任職於原告公司之四名工程師於100 年5 、6 月間先後跳槽至被告先進光電科技股份有限公司（下稱先進公司），將原告之7 大項營業秘密技術竊取至被告先進公司，以協助被告先進公司發展鏡頭自動化生產製程，並進一步將其中部分技術向經濟部智慧財產局申請專利獲准</w:t>
      </w:r>
      <w:r w:rsidRPr="00266697">
        <w:rPr>
          <w:rFonts w:ascii="標楷體" w:eastAsia="標楷體" w:hAnsi="標楷體" w:hint="eastAsia"/>
        </w:rPr>
        <w:lastRenderedPageBreak/>
        <w:t>（我國第M438320 號「點膠針頭結構」新型專利、第M438469 號「遮光片送料機構」新型專利），使原告之營業秘密內容為一般公眾所知悉，侵害原告所有之著作財產權及營業秘密。原告乃對被告先進公司及其負責人林忠和、原任總經理羅章浚，及四名工程師鄒博丞、謝炘穎、朱威丞、翁宗震，請求排除侵害，及確認上開二項專利之專利申請權及專利權均為原告所有，並請求被告等連帶賠償新臺幣（下同）15億2 千餘萬元。</w:t>
      </w:r>
    </w:p>
    <w:p w:rsidR="00872A5C" w:rsidRPr="00266697" w:rsidRDefault="00872A5C" w:rsidP="00872A5C">
      <w:pPr>
        <w:ind w:left="480" w:hangingChars="200" w:hanging="480"/>
        <w:rPr>
          <w:rFonts w:ascii="標楷體" w:eastAsia="標楷體" w:hAnsi="標楷體"/>
        </w:rPr>
      </w:pPr>
      <w:r w:rsidRPr="00266697">
        <w:rPr>
          <w:rFonts w:ascii="標楷體" w:eastAsia="標楷體" w:hAnsi="標楷體" w:hint="eastAsia"/>
        </w:rPr>
        <w:t>二、本院於104 年10月30日作成中間判決，認定原告所主張之7大項技術全部均為原告自行研發之營業秘密，除了其中一項「膠水儲存裝置」，無法認定被告等有竊取行為之外，其餘之技術內容，被告等有侵害原告的著作財產權及營業秘密之行為。</w:t>
      </w:r>
    </w:p>
    <w:p w:rsidR="00872A5C" w:rsidRPr="00266697" w:rsidRDefault="00872A5C" w:rsidP="00872A5C">
      <w:pPr>
        <w:ind w:left="480" w:rightChars="17" w:right="41" w:hangingChars="200" w:hanging="480"/>
        <w:rPr>
          <w:rFonts w:ascii="標楷體" w:eastAsia="標楷體" w:hAnsi="標楷體"/>
        </w:rPr>
      </w:pPr>
      <w:r w:rsidRPr="00266697">
        <w:rPr>
          <w:rFonts w:ascii="標楷體" w:eastAsia="標楷體" w:hAnsi="標楷體" w:hint="eastAsia"/>
        </w:rPr>
        <w:t>三、本院於中間判決之後，曾勸諭兩造試行調解，於10 5年8 月16日調解不成立，乃續行調查損害賠償程序，並於106 年12月6 日作成終局判決。關於原告上述請求排除侵害，及確認二項專利之專利申請權及專利權為原告所有部分，均予准許（除「膠水儲存裝置」之外）；請求損害賠償部分，本院認為原告為了研發本件營業秘密技術，歷年來共支出研發費用6 億餘元。且營業秘密一旦喪失秘密性，營業秘密所有人可單獨享有、使用該秘密資訊之優勢地位即不復存在。又營業秘密所有人對於該秘密資訊後續將如何被散布或使用，已完全無從掌控及防止，營業秘密所有人為研發該營業秘密付出之時間、勞費無異毀於一旦。而</w:t>
      </w:r>
      <w:r w:rsidRPr="00266697">
        <w:rPr>
          <w:rFonts w:ascii="標楷體" w:eastAsia="標楷體" w:hAnsi="標楷體"/>
        </w:rPr>
        <w:t>以不法方式獲得秘密資訊之第三人，可不需支付相對之代價，平白享用他人辛勤努力的研發成果獲有利益。</w:t>
      </w:r>
      <w:r w:rsidR="00050156">
        <w:rPr>
          <w:rFonts w:ascii="標楷體" w:eastAsia="標楷體" w:hAnsi="標楷體" w:hint="eastAsia"/>
        </w:rPr>
        <w:t>由原告公司在塑膠鏡頭產業之高市占率及遠高於同業之</w:t>
      </w:r>
      <w:r w:rsidRPr="00266697">
        <w:rPr>
          <w:rFonts w:ascii="標楷體" w:eastAsia="標楷體" w:hAnsi="標楷體" w:hint="eastAsia"/>
        </w:rPr>
        <w:t>利潤等表現來看，足認系爭營業秘密為原告公司帶來巨大的經濟價值，已超過原告所主張之研發費用。故原告主張以本件營業秘密之研發費用，來計算損害賠償，為有理由。又因被告等係故意侵害且情節重大，原告可依營業秘密法第13條第2 項規定，請求三倍之懲罰性損害賠償金即18億餘元。原告起訴請求15億2千餘萬元，未超過上開金額，故原告請求被告等人連帶賠償15 億2千餘萬元全部准許。</w:t>
      </w:r>
    </w:p>
    <w:p w:rsidR="00872A5C" w:rsidRPr="00266697" w:rsidRDefault="00872A5C" w:rsidP="00872A5C">
      <w:pPr>
        <w:rPr>
          <w:rFonts w:ascii="標楷體" w:eastAsia="標楷體" w:hAnsi="標楷體"/>
        </w:rPr>
      </w:pPr>
      <w:r w:rsidRPr="00266697">
        <w:rPr>
          <w:rFonts w:ascii="標楷體" w:eastAsia="標楷體" w:hAnsi="標楷體"/>
        </w:rPr>
        <w:t xml:space="preserve">    </w:t>
      </w:r>
    </w:p>
    <w:p w:rsidR="00872A5C" w:rsidRPr="00266697" w:rsidRDefault="00872A5C" w:rsidP="00872A5C">
      <w:pPr>
        <w:ind w:left="480" w:hangingChars="200" w:hanging="480"/>
        <w:rPr>
          <w:rFonts w:ascii="標楷體" w:eastAsia="標楷體" w:hAnsi="標楷體"/>
        </w:rPr>
      </w:pPr>
      <w:r w:rsidRPr="00266697">
        <w:rPr>
          <w:rFonts w:ascii="標楷體" w:eastAsia="標楷體" w:hAnsi="標楷體"/>
        </w:rPr>
        <w:t>參、本件由本院第二庭彭法官洪英為第一審判決，被告等如不服，依法得提起第二審上訴。</w:t>
      </w:r>
    </w:p>
    <w:p w:rsidR="009630D8" w:rsidRPr="00266697" w:rsidRDefault="009630D8" w:rsidP="00310B7C">
      <w:pPr>
        <w:kinsoku w:val="0"/>
        <w:overflowPunct w:val="0"/>
        <w:jc w:val="both"/>
        <w:rPr>
          <w:rFonts w:ascii="標楷體" w:eastAsia="標楷體" w:hAnsi="標楷體" w:cs="Arial"/>
          <w:szCs w:val="24"/>
        </w:rPr>
      </w:pPr>
    </w:p>
    <w:sectPr w:rsidR="009630D8" w:rsidRPr="00266697" w:rsidSect="0029235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D8" w:rsidRDefault="00F57DD8" w:rsidP="009630D8">
      <w:r>
        <w:separator/>
      </w:r>
    </w:p>
  </w:endnote>
  <w:endnote w:type="continuationSeparator" w:id="0">
    <w:p w:rsidR="00F57DD8" w:rsidRDefault="00F57DD8" w:rsidP="009630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華康隸書體W7">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16"/>
      <w:docPartObj>
        <w:docPartGallery w:val="Page Numbers (Bottom of Page)"/>
        <w:docPartUnique/>
      </w:docPartObj>
    </w:sdtPr>
    <w:sdtContent>
      <w:p w:rsidR="001B459E" w:rsidRDefault="00A505E9">
        <w:pPr>
          <w:pStyle w:val="a5"/>
          <w:jc w:val="center"/>
        </w:pPr>
        <w:fldSimple w:instr=" PAGE   \* MERGEFORMAT ">
          <w:r w:rsidR="00F57DD8" w:rsidRPr="00F57DD8">
            <w:rPr>
              <w:noProof/>
              <w:lang w:val="zh-TW"/>
            </w:rPr>
            <w:t>1</w:t>
          </w:r>
        </w:fldSimple>
      </w:p>
    </w:sdtContent>
  </w:sdt>
  <w:p w:rsidR="001B459E" w:rsidRDefault="001B45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D8" w:rsidRDefault="00F57DD8" w:rsidP="009630D8">
      <w:r>
        <w:separator/>
      </w:r>
    </w:p>
  </w:footnote>
  <w:footnote w:type="continuationSeparator" w:id="0">
    <w:p w:rsidR="00F57DD8" w:rsidRDefault="00F57DD8" w:rsidP="009630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F79"/>
    <w:rsid w:val="000072A8"/>
    <w:rsid w:val="000127E6"/>
    <w:rsid w:val="00033FEE"/>
    <w:rsid w:val="00050156"/>
    <w:rsid w:val="00084960"/>
    <w:rsid w:val="0008686A"/>
    <w:rsid w:val="000A4F8A"/>
    <w:rsid w:val="000D1F7E"/>
    <w:rsid w:val="000D7535"/>
    <w:rsid w:val="000E33E6"/>
    <w:rsid w:val="000E4648"/>
    <w:rsid w:val="000E674C"/>
    <w:rsid w:val="00134F8D"/>
    <w:rsid w:val="00141EA1"/>
    <w:rsid w:val="00143C3C"/>
    <w:rsid w:val="00155929"/>
    <w:rsid w:val="00173482"/>
    <w:rsid w:val="00177E66"/>
    <w:rsid w:val="001B459E"/>
    <w:rsid w:val="001C4813"/>
    <w:rsid w:val="001C6874"/>
    <w:rsid w:val="001F4F58"/>
    <w:rsid w:val="002045A8"/>
    <w:rsid w:val="002179F8"/>
    <w:rsid w:val="00227F79"/>
    <w:rsid w:val="00252D79"/>
    <w:rsid w:val="00252F51"/>
    <w:rsid w:val="002531CA"/>
    <w:rsid w:val="0025553B"/>
    <w:rsid w:val="00261B4F"/>
    <w:rsid w:val="00266697"/>
    <w:rsid w:val="0027064D"/>
    <w:rsid w:val="0027367D"/>
    <w:rsid w:val="00292351"/>
    <w:rsid w:val="002A5238"/>
    <w:rsid w:val="002B6C0B"/>
    <w:rsid w:val="002D6799"/>
    <w:rsid w:val="00310B7C"/>
    <w:rsid w:val="003135DB"/>
    <w:rsid w:val="00326A26"/>
    <w:rsid w:val="00331CFB"/>
    <w:rsid w:val="00337D8E"/>
    <w:rsid w:val="003550BC"/>
    <w:rsid w:val="0036385C"/>
    <w:rsid w:val="00371F79"/>
    <w:rsid w:val="00387993"/>
    <w:rsid w:val="003B6139"/>
    <w:rsid w:val="003C398C"/>
    <w:rsid w:val="003C495B"/>
    <w:rsid w:val="003C655A"/>
    <w:rsid w:val="003F0014"/>
    <w:rsid w:val="00401793"/>
    <w:rsid w:val="0040721D"/>
    <w:rsid w:val="00410EEA"/>
    <w:rsid w:val="00420D80"/>
    <w:rsid w:val="00426567"/>
    <w:rsid w:val="0043075F"/>
    <w:rsid w:val="00447894"/>
    <w:rsid w:val="00482216"/>
    <w:rsid w:val="00485A58"/>
    <w:rsid w:val="004B1492"/>
    <w:rsid w:val="004D4F01"/>
    <w:rsid w:val="004F7DC0"/>
    <w:rsid w:val="00501174"/>
    <w:rsid w:val="00505E16"/>
    <w:rsid w:val="0051106F"/>
    <w:rsid w:val="00530C03"/>
    <w:rsid w:val="00537240"/>
    <w:rsid w:val="00541738"/>
    <w:rsid w:val="00591E14"/>
    <w:rsid w:val="005A7069"/>
    <w:rsid w:val="005E403D"/>
    <w:rsid w:val="006103EF"/>
    <w:rsid w:val="00624655"/>
    <w:rsid w:val="00632493"/>
    <w:rsid w:val="00676BDA"/>
    <w:rsid w:val="006977BE"/>
    <w:rsid w:val="006A4FBD"/>
    <w:rsid w:val="006B62B3"/>
    <w:rsid w:val="006C07D9"/>
    <w:rsid w:val="006C5555"/>
    <w:rsid w:val="006D4BF4"/>
    <w:rsid w:val="006E155C"/>
    <w:rsid w:val="006E208D"/>
    <w:rsid w:val="006F4450"/>
    <w:rsid w:val="00702B01"/>
    <w:rsid w:val="00717B73"/>
    <w:rsid w:val="00764751"/>
    <w:rsid w:val="00775100"/>
    <w:rsid w:val="007A7FBE"/>
    <w:rsid w:val="007F6195"/>
    <w:rsid w:val="00866338"/>
    <w:rsid w:val="00872A5C"/>
    <w:rsid w:val="00882F64"/>
    <w:rsid w:val="00885648"/>
    <w:rsid w:val="008A5535"/>
    <w:rsid w:val="008B5A92"/>
    <w:rsid w:val="008C4D45"/>
    <w:rsid w:val="008E0D80"/>
    <w:rsid w:val="008F6BE4"/>
    <w:rsid w:val="009050D7"/>
    <w:rsid w:val="00915461"/>
    <w:rsid w:val="00960204"/>
    <w:rsid w:val="009630D8"/>
    <w:rsid w:val="009A6234"/>
    <w:rsid w:val="009D7375"/>
    <w:rsid w:val="009E03F2"/>
    <w:rsid w:val="009E2064"/>
    <w:rsid w:val="00A40F17"/>
    <w:rsid w:val="00A505E9"/>
    <w:rsid w:val="00A64DBB"/>
    <w:rsid w:val="00A736B4"/>
    <w:rsid w:val="00AA551B"/>
    <w:rsid w:val="00AC60DD"/>
    <w:rsid w:val="00AC69F8"/>
    <w:rsid w:val="00AF0683"/>
    <w:rsid w:val="00B0194E"/>
    <w:rsid w:val="00B07C65"/>
    <w:rsid w:val="00B2324C"/>
    <w:rsid w:val="00B33F3C"/>
    <w:rsid w:val="00B746B2"/>
    <w:rsid w:val="00BC5A81"/>
    <w:rsid w:val="00BD3214"/>
    <w:rsid w:val="00C07E5A"/>
    <w:rsid w:val="00C3696A"/>
    <w:rsid w:val="00C43113"/>
    <w:rsid w:val="00C45332"/>
    <w:rsid w:val="00C47398"/>
    <w:rsid w:val="00CA7566"/>
    <w:rsid w:val="00CE6BC2"/>
    <w:rsid w:val="00CE76AF"/>
    <w:rsid w:val="00D14EF3"/>
    <w:rsid w:val="00D153AC"/>
    <w:rsid w:val="00D16A52"/>
    <w:rsid w:val="00D30F4E"/>
    <w:rsid w:val="00D312DF"/>
    <w:rsid w:val="00D457EA"/>
    <w:rsid w:val="00DA01F6"/>
    <w:rsid w:val="00DE573A"/>
    <w:rsid w:val="00DE63A7"/>
    <w:rsid w:val="00E655CC"/>
    <w:rsid w:val="00E76FD1"/>
    <w:rsid w:val="00EA07FF"/>
    <w:rsid w:val="00EB2128"/>
    <w:rsid w:val="00EB28B9"/>
    <w:rsid w:val="00EE37FF"/>
    <w:rsid w:val="00F0256D"/>
    <w:rsid w:val="00F21188"/>
    <w:rsid w:val="00F217FB"/>
    <w:rsid w:val="00F23C01"/>
    <w:rsid w:val="00F44BB8"/>
    <w:rsid w:val="00F57DD8"/>
    <w:rsid w:val="00F7201F"/>
    <w:rsid w:val="00F72296"/>
    <w:rsid w:val="00F76320"/>
    <w:rsid w:val="00F81669"/>
    <w:rsid w:val="00FC14DB"/>
    <w:rsid w:val="00FC35D5"/>
    <w:rsid w:val="00FF03B3"/>
    <w:rsid w:val="00FF7C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7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30D8"/>
    <w:pPr>
      <w:tabs>
        <w:tab w:val="center" w:pos="4153"/>
        <w:tab w:val="right" w:pos="8306"/>
      </w:tabs>
      <w:snapToGrid w:val="0"/>
    </w:pPr>
    <w:rPr>
      <w:sz w:val="20"/>
      <w:szCs w:val="20"/>
    </w:rPr>
  </w:style>
  <w:style w:type="character" w:customStyle="1" w:styleId="a4">
    <w:name w:val="頁首 字元"/>
    <w:basedOn w:val="a0"/>
    <w:link w:val="a3"/>
    <w:uiPriority w:val="99"/>
    <w:semiHidden/>
    <w:rsid w:val="009630D8"/>
    <w:rPr>
      <w:sz w:val="20"/>
      <w:szCs w:val="20"/>
    </w:rPr>
  </w:style>
  <w:style w:type="paragraph" w:styleId="a5">
    <w:name w:val="footer"/>
    <w:basedOn w:val="a"/>
    <w:link w:val="a6"/>
    <w:uiPriority w:val="99"/>
    <w:unhideWhenUsed/>
    <w:rsid w:val="009630D8"/>
    <w:pPr>
      <w:tabs>
        <w:tab w:val="center" w:pos="4153"/>
        <w:tab w:val="right" w:pos="8306"/>
      </w:tabs>
      <w:snapToGrid w:val="0"/>
    </w:pPr>
    <w:rPr>
      <w:sz w:val="20"/>
      <w:szCs w:val="20"/>
    </w:rPr>
  </w:style>
  <w:style w:type="character" w:customStyle="1" w:styleId="a6">
    <w:name w:val="頁尾 字元"/>
    <w:basedOn w:val="a0"/>
    <w:link w:val="a5"/>
    <w:uiPriority w:val="99"/>
    <w:rsid w:val="009630D8"/>
    <w:rPr>
      <w:sz w:val="20"/>
      <w:szCs w:val="20"/>
    </w:rPr>
  </w:style>
  <w:style w:type="paragraph" w:styleId="a7">
    <w:name w:val="Balloon Text"/>
    <w:basedOn w:val="a"/>
    <w:link w:val="a8"/>
    <w:uiPriority w:val="99"/>
    <w:semiHidden/>
    <w:unhideWhenUsed/>
    <w:rsid w:val="004B14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B14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Office Word</Application>
  <DocSecurity>0</DocSecurity>
  <Lines>12</Lines>
  <Paragraphs>3</Paragraphs>
  <ScaleCrop>false</ScaleCrop>
  <Company>Hewlett-Packard Company</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審判Word系統版本:1041102-01</dc:description>
  <cp:lastModifiedBy>IPC</cp:lastModifiedBy>
  <cp:revision>2</cp:revision>
  <cp:lastPrinted>2017-12-07T10:43:00Z</cp:lastPrinted>
  <dcterms:created xsi:type="dcterms:W3CDTF">2017-12-07T11:01:00Z</dcterms:created>
  <dcterms:modified xsi:type="dcterms:W3CDTF">2017-12-07T11:01:00Z</dcterms:modified>
</cp:coreProperties>
</file>