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AA6" w:rsidRPr="003873F6" w:rsidRDefault="00C64AA6" w:rsidP="00EC5716">
      <w:pPr>
        <w:pageBreakBefore/>
        <w:adjustRightInd w:val="0"/>
        <w:snapToGrid w:val="0"/>
        <w:spacing w:line="460" w:lineRule="exact"/>
        <w:jc w:val="center"/>
        <w:rPr>
          <w:rFonts w:ascii="標楷體" w:eastAsia="標楷體" w:hAnsi="標楷體"/>
          <w:sz w:val="40"/>
          <w:szCs w:val="40"/>
        </w:rPr>
      </w:pPr>
      <w:r>
        <w:rPr>
          <w:rFonts w:ascii="標楷體" w:eastAsia="標楷體" w:hAnsi="標楷體" w:hint="eastAsia"/>
          <w:bCs/>
          <w:sz w:val="40"/>
          <w:szCs w:val="40"/>
        </w:rPr>
        <w:t>刑事訴訟法</w:t>
      </w:r>
      <w:r w:rsidRPr="003873F6">
        <w:rPr>
          <w:rFonts w:ascii="標楷體" w:eastAsia="標楷體" w:hAnsi="標楷體" w:hint="eastAsia"/>
          <w:sz w:val="40"/>
          <w:szCs w:val="40"/>
        </w:rPr>
        <w:t>部分條文修正草案條文對照表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3326"/>
        <w:gridCol w:w="3017"/>
        <w:gridCol w:w="3026"/>
      </w:tblGrid>
      <w:tr w:rsidR="00C64AA6" w:rsidRPr="003873F6" w:rsidTr="00111886">
        <w:trPr>
          <w:trHeight w:val="1"/>
        </w:trPr>
        <w:tc>
          <w:tcPr>
            <w:tcW w:w="1775" w:type="pct"/>
            <w:tcMar>
              <w:left w:w="0" w:type="dxa"/>
              <w:right w:w="0" w:type="dxa"/>
            </w:tcMar>
            <w:vAlign w:val="center"/>
          </w:tcPr>
          <w:p w:rsidR="00C64AA6" w:rsidRPr="003873F6" w:rsidRDefault="00C64AA6" w:rsidP="00823801">
            <w:pPr>
              <w:snapToGrid w:val="0"/>
              <w:ind w:left="360" w:right="120" w:hanging="240"/>
              <w:jc w:val="center"/>
              <w:rPr>
                <w:rFonts w:ascii="標楷體" w:eastAsia="標楷體" w:hAnsi="標楷體"/>
              </w:rPr>
            </w:pPr>
            <w:r w:rsidRPr="003873F6">
              <w:rPr>
                <w:rFonts w:ascii="標楷體" w:eastAsia="標楷體" w:hAnsi="標楷體" w:cs="標楷體" w:hint="eastAsia"/>
                <w:kern w:val="0"/>
              </w:rPr>
              <w:t>修</w:t>
            </w:r>
            <w:r w:rsidRPr="003873F6">
              <w:rPr>
                <w:rFonts w:ascii="標楷體" w:eastAsia="標楷體" w:hAnsi="標楷體" w:cs="標楷體"/>
                <w:kern w:val="0"/>
              </w:rPr>
              <w:t xml:space="preserve"> </w:t>
            </w:r>
            <w:r w:rsidRPr="003873F6">
              <w:rPr>
                <w:rFonts w:ascii="標楷體" w:eastAsia="標楷體" w:hAnsi="標楷體" w:cs="標楷體" w:hint="eastAsia"/>
                <w:kern w:val="0"/>
              </w:rPr>
              <w:t>正</w:t>
            </w:r>
            <w:r w:rsidRPr="003873F6">
              <w:rPr>
                <w:rFonts w:ascii="標楷體" w:eastAsia="標楷體" w:hAnsi="標楷體" w:cs="標楷體"/>
                <w:kern w:val="0"/>
              </w:rPr>
              <w:t xml:space="preserve"> </w:t>
            </w:r>
            <w:r w:rsidRPr="003873F6">
              <w:rPr>
                <w:rFonts w:ascii="標楷體" w:eastAsia="標楷體" w:hAnsi="標楷體" w:cs="標楷體" w:hint="eastAsia"/>
                <w:kern w:val="0"/>
              </w:rPr>
              <w:t>條</w:t>
            </w:r>
            <w:r w:rsidRPr="003873F6">
              <w:rPr>
                <w:rFonts w:ascii="標楷體" w:eastAsia="標楷體" w:hAnsi="標楷體" w:cs="標楷體"/>
                <w:kern w:val="0"/>
              </w:rPr>
              <w:t xml:space="preserve"> </w:t>
            </w:r>
            <w:r w:rsidRPr="003873F6">
              <w:rPr>
                <w:rFonts w:ascii="標楷體" w:eastAsia="標楷體" w:hAnsi="標楷體" w:cs="標楷體" w:hint="eastAsia"/>
                <w:kern w:val="0"/>
              </w:rPr>
              <w:t>文</w:t>
            </w:r>
          </w:p>
        </w:tc>
        <w:tc>
          <w:tcPr>
            <w:tcW w:w="1610" w:type="pct"/>
            <w:tcMar>
              <w:left w:w="0" w:type="dxa"/>
              <w:right w:w="0" w:type="dxa"/>
            </w:tcMar>
            <w:vAlign w:val="center"/>
          </w:tcPr>
          <w:p w:rsidR="00C64AA6" w:rsidRPr="003873F6" w:rsidRDefault="00C64AA6" w:rsidP="00823801">
            <w:pPr>
              <w:snapToGrid w:val="0"/>
              <w:ind w:left="360" w:right="120" w:hanging="240"/>
              <w:jc w:val="center"/>
              <w:rPr>
                <w:rFonts w:ascii="標楷體" w:eastAsia="標楷體" w:hAnsi="標楷體"/>
              </w:rPr>
            </w:pPr>
            <w:r w:rsidRPr="003873F6">
              <w:rPr>
                <w:rFonts w:ascii="標楷體" w:eastAsia="標楷體" w:hAnsi="標楷體" w:hint="eastAsia"/>
              </w:rPr>
              <w:t>現</w:t>
            </w:r>
            <w:r w:rsidRPr="003873F6">
              <w:rPr>
                <w:rFonts w:ascii="標楷體" w:eastAsia="標楷體" w:hAnsi="標楷體"/>
              </w:rPr>
              <w:t xml:space="preserve"> </w:t>
            </w:r>
            <w:r w:rsidRPr="003873F6">
              <w:rPr>
                <w:rFonts w:ascii="標楷體" w:eastAsia="標楷體" w:hAnsi="標楷體" w:hint="eastAsia"/>
              </w:rPr>
              <w:t>行</w:t>
            </w:r>
            <w:r w:rsidRPr="003873F6">
              <w:rPr>
                <w:rFonts w:ascii="標楷體" w:eastAsia="標楷體" w:hAnsi="標楷體"/>
              </w:rPr>
              <w:t xml:space="preserve"> </w:t>
            </w:r>
            <w:r w:rsidRPr="003873F6">
              <w:rPr>
                <w:rFonts w:ascii="標楷體" w:eastAsia="標楷體" w:hAnsi="標楷體" w:hint="eastAsia"/>
              </w:rPr>
              <w:t>條</w:t>
            </w:r>
            <w:r w:rsidRPr="003873F6">
              <w:rPr>
                <w:rFonts w:ascii="標楷體" w:eastAsia="標楷體" w:hAnsi="標楷體"/>
              </w:rPr>
              <w:t xml:space="preserve"> </w:t>
            </w:r>
            <w:r w:rsidRPr="003873F6">
              <w:rPr>
                <w:rFonts w:ascii="標楷體" w:eastAsia="標楷體" w:hAnsi="標楷體" w:hint="eastAsia"/>
              </w:rPr>
              <w:t>文</w:t>
            </w:r>
          </w:p>
        </w:tc>
        <w:tc>
          <w:tcPr>
            <w:tcW w:w="1615" w:type="pct"/>
          </w:tcPr>
          <w:p w:rsidR="00C64AA6" w:rsidRPr="003873F6" w:rsidRDefault="00C64AA6" w:rsidP="00823801">
            <w:pPr>
              <w:snapToGrid w:val="0"/>
              <w:ind w:left="360" w:right="120" w:hanging="240"/>
              <w:jc w:val="center"/>
              <w:rPr>
                <w:rFonts w:ascii="標楷體" w:eastAsia="標楷體" w:hAnsi="標楷體" w:cs="標楷體"/>
              </w:rPr>
            </w:pPr>
            <w:r w:rsidRPr="003873F6">
              <w:rPr>
                <w:rFonts w:ascii="標楷體" w:eastAsia="標楷體" w:hAnsi="標楷體" w:cs="標楷體" w:hint="eastAsia"/>
                <w:kern w:val="0"/>
              </w:rPr>
              <w:t>說</w:t>
            </w:r>
            <w:r w:rsidRPr="003873F6">
              <w:rPr>
                <w:rFonts w:ascii="標楷體" w:eastAsia="標楷體" w:hAnsi="標楷體" w:cs="標楷體"/>
                <w:kern w:val="0"/>
              </w:rPr>
              <w:t xml:space="preserve">  </w:t>
            </w:r>
            <w:r w:rsidRPr="003873F6">
              <w:rPr>
                <w:rFonts w:ascii="標楷體" w:eastAsia="標楷體" w:hAnsi="標楷體" w:cs="標楷體" w:hint="eastAsia"/>
                <w:kern w:val="0"/>
              </w:rPr>
              <w:t>明</w:t>
            </w:r>
          </w:p>
        </w:tc>
      </w:tr>
      <w:tr w:rsidR="00430EE4" w:rsidRPr="00B14D77" w:rsidTr="00AF5E88">
        <w:trPr>
          <w:trHeight w:val="1"/>
        </w:trPr>
        <w:tc>
          <w:tcPr>
            <w:tcW w:w="1775" w:type="pct"/>
            <w:tcMar>
              <w:left w:w="0" w:type="dxa"/>
              <w:right w:w="0" w:type="dxa"/>
            </w:tcMar>
          </w:tcPr>
          <w:p w:rsidR="00430EE4" w:rsidRPr="00B14D77" w:rsidRDefault="00430EE4" w:rsidP="00AF5E88">
            <w:pPr>
              <w:snapToGrid w:val="0"/>
              <w:ind w:left="240" w:hangingChars="100" w:hanging="240"/>
              <w:jc w:val="both"/>
              <w:rPr>
                <w:rFonts w:ascii="標楷體" w:eastAsia="標楷體" w:hAnsi="標楷體" w:cs="標楷體"/>
                <w:kern w:val="0"/>
              </w:rPr>
            </w:pPr>
            <w:r>
              <w:rPr>
                <w:rFonts w:ascii="標楷體" w:eastAsia="標楷體" w:hAnsi="標楷體" w:cs="標楷體" w:hint="eastAsia"/>
                <w:kern w:val="0"/>
              </w:rPr>
              <w:t>第三條之一</w:t>
            </w:r>
            <w:r w:rsidRPr="00B14D77">
              <w:rPr>
                <w:rFonts w:ascii="標楷體" w:eastAsia="標楷體" w:hAnsi="標楷體" w:cs="標楷體"/>
                <w:kern w:val="0"/>
              </w:rPr>
              <w:t xml:space="preserve">  </w:t>
            </w:r>
            <w:r>
              <w:rPr>
                <w:rFonts w:ascii="標楷體" w:eastAsia="標楷體" w:hAnsi="標楷體" w:cs="標楷體" w:hint="eastAsia"/>
                <w:kern w:val="0"/>
              </w:rPr>
              <w:t>本法</w:t>
            </w:r>
            <w:r w:rsidRPr="00B14D77">
              <w:rPr>
                <w:rFonts w:ascii="標楷體" w:eastAsia="標楷體" w:hAnsi="標楷體" w:cs="標楷體" w:hint="eastAsia"/>
                <w:kern w:val="0"/>
              </w:rPr>
              <w:t>所稱沒收，包括其替代手段。</w:t>
            </w:r>
          </w:p>
        </w:tc>
        <w:tc>
          <w:tcPr>
            <w:tcW w:w="1610" w:type="pct"/>
            <w:tcMar>
              <w:left w:w="0" w:type="dxa"/>
              <w:right w:w="0" w:type="dxa"/>
            </w:tcMar>
          </w:tcPr>
          <w:p w:rsidR="00430EE4" w:rsidRPr="00B14D77" w:rsidRDefault="00430EE4" w:rsidP="00AF5E88">
            <w:pPr>
              <w:snapToGrid w:val="0"/>
              <w:ind w:left="240" w:hanging="240"/>
              <w:jc w:val="both"/>
              <w:rPr>
                <w:rFonts w:ascii="標楷體" w:eastAsia="標楷體" w:hAnsi="標楷體"/>
              </w:rPr>
            </w:pPr>
          </w:p>
        </w:tc>
        <w:tc>
          <w:tcPr>
            <w:tcW w:w="1615" w:type="pct"/>
          </w:tcPr>
          <w:p w:rsidR="00430EE4" w:rsidRDefault="00430EE4" w:rsidP="001C70FF">
            <w:pPr>
              <w:pStyle w:val="a7"/>
              <w:numPr>
                <w:ilvl w:val="0"/>
                <w:numId w:val="3"/>
              </w:numPr>
              <w:ind w:leftChars="0"/>
              <w:jc w:val="both"/>
              <w:rPr>
                <w:rFonts w:ascii="標楷體" w:eastAsia="標楷體" w:hAnsi="標楷體"/>
                <w:szCs w:val="24"/>
                <w:u w:val="single"/>
              </w:rPr>
            </w:pPr>
            <w:r>
              <w:rPr>
                <w:rFonts w:ascii="標楷體" w:eastAsia="標楷體" w:hAnsi="標楷體" w:hint="eastAsia"/>
                <w:szCs w:val="24"/>
                <w:u w:val="single"/>
              </w:rPr>
              <w:t>本條</w:t>
            </w:r>
            <w:r w:rsidRPr="00B14D77">
              <w:rPr>
                <w:rFonts w:ascii="標楷體" w:eastAsia="標楷體" w:hAnsi="標楷體" w:hint="eastAsia"/>
                <w:szCs w:val="24"/>
                <w:u w:val="single"/>
              </w:rPr>
              <w:t>新增。</w:t>
            </w:r>
          </w:p>
          <w:p w:rsidR="00430EE4" w:rsidRPr="00C27B07" w:rsidRDefault="00430EE4" w:rsidP="001C70FF">
            <w:pPr>
              <w:pStyle w:val="a7"/>
              <w:numPr>
                <w:ilvl w:val="0"/>
                <w:numId w:val="3"/>
              </w:numPr>
              <w:ind w:leftChars="0"/>
              <w:jc w:val="both"/>
              <w:rPr>
                <w:rFonts w:ascii="標楷體" w:eastAsia="標楷體" w:hAnsi="標楷體"/>
                <w:szCs w:val="24"/>
                <w:u w:val="single"/>
              </w:rPr>
            </w:pPr>
            <w:r w:rsidRPr="00C27B07">
              <w:rPr>
                <w:rFonts w:ascii="標楷體" w:eastAsia="標楷體" w:hAnsi="標楷體" w:hint="eastAsia"/>
                <w:kern w:val="0"/>
              </w:rPr>
              <w:t>本法關於沒收之規定為國家剝奪人民</w:t>
            </w:r>
            <w:r w:rsidR="00E71904" w:rsidRPr="00C27B07">
              <w:rPr>
                <w:rFonts w:ascii="標楷體" w:eastAsia="標楷體" w:hAnsi="標楷體" w:hint="eastAsia"/>
                <w:kern w:val="0"/>
              </w:rPr>
              <w:t>財產之正當程序，沒收及其替代手段</w:t>
            </w:r>
            <w:r w:rsidR="008D3126" w:rsidRPr="00BB3221">
              <w:rPr>
                <w:rFonts w:ascii="標楷體" w:eastAsia="標楷體" w:hAnsi="標楷體" w:hint="eastAsia"/>
                <w:kern w:val="0"/>
              </w:rPr>
              <w:t>追徵等</w:t>
            </w:r>
            <w:r w:rsidR="00E71904" w:rsidRPr="00C27B07">
              <w:rPr>
                <w:rFonts w:ascii="標楷體" w:eastAsia="標楷體" w:hAnsi="標楷體" w:hint="eastAsia"/>
                <w:kern w:val="0"/>
              </w:rPr>
              <w:t>同應遵循，爰增訂本條</w:t>
            </w:r>
            <w:r w:rsidR="001662DA">
              <w:rPr>
                <w:rFonts w:ascii="標楷體" w:eastAsia="標楷體" w:hAnsi="標楷體" w:hint="eastAsia"/>
                <w:kern w:val="0"/>
              </w:rPr>
              <w:t>以明確其</w:t>
            </w:r>
            <w:r w:rsidRPr="00C27B07">
              <w:rPr>
                <w:rFonts w:ascii="標楷體" w:eastAsia="標楷體" w:hAnsi="標楷體" w:hint="eastAsia"/>
                <w:kern w:val="0"/>
              </w:rPr>
              <w:t>適用範圍。</w:t>
            </w:r>
          </w:p>
        </w:tc>
      </w:tr>
      <w:tr w:rsidR="009322B1" w:rsidRPr="00B14D77" w:rsidTr="00AF5E88">
        <w:trPr>
          <w:trHeight w:val="1"/>
        </w:trPr>
        <w:tc>
          <w:tcPr>
            <w:tcW w:w="1775" w:type="pct"/>
            <w:tcMar>
              <w:left w:w="0" w:type="dxa"/>
              <w:right w:w="0" w:type="dxa"/>
            </w:tcMar>
          </w:tcPr>
          <w:p w:rsidR="00246983" w:rsidRDefault="00246983" w:rsidP="004F0073">
            <w:pPr>
              <w:pStyle w:val="af0"/>
              <w:spacing w:after="0" w:line="240" w:lineRule="auto"/>
              <w:ind w:left="238" w:hanging="238"/>
              <w:jc w:val="both"/>
              <w:rPr>
                <w:rFonts w:ascii="標楷體" w:eastAsia="標楷體" w:hAnsi="標楷體"/>
              </w:rPr>
            </w:pPr>
            <w:r w:rsidRPr="00877179">
              <w:rPr>
                <w:rFonts w:ascii="標楷體" w:eastAsia="標楷體" w:hAnsi="標楷體" w:hint="eastAsia"/>
              </w:rPr>
              <w:t>第二百五十九條之一</w:t>
            </w:r>
            <w:r w:rsidRPr="00877179">
              <w:rPr>
                <w:rFonts w:ascii="標楷體" w:eastAsia="標楷體" w:hAnsi="標楷體"/>
              </w:rPr>
              <w:t xml:space="preserve">  檢察官依第二百五十三條或第二百五十三條之一為不起訴或緩起訴之處分者，</w:t>
            </w:r>
            <w:r>
              <w:rPr>
                <w:rFonts w:ascii="標楷體" w:eastAsia="標楷體" w:hAnsi="標楷體" w:hint="eastAsia"/>
              </w:rPr>
              <w:t>對</w:t>
            </w:r>
            <w:r w:rsidRPr="004F2A1A">
              <w:rPr>
                <w:rFonts w:ascii="標楷體" w:eastAsia="標楷體" w:hAnsi="標楷體" w:hint="eastAsia"/>
                <w:u w:val="single"/>
              </w:rPr>
              <w:t>刑法</w:t>
            </w:r>
            <w:r w:rsidRPr="004F2A1A">
              <w:rPr>
                <w:rFonts w:ascii="標楷體" w:eastAsia="標楷體" w:hAnsi="標楷體" w:cs="標楷體" w:hint="eastAsia"/>
                <w:u w:val="single"/>
              </w:rPr>
              <w:t>第三十八條第二項之物及第三十八條之一第一項、第三項之犯罪所得</w:t>
            </w:r>
            <w:r w:rsidRPr="004F2A1A">
              <w:rPr>
                <w:rFonts w:ascii="標楷體" w:eastAsia="標楷體" w:hAnsi="標楷體" w:hint="eastAsia"/>
              </w:rPr>
              <w:t>，</w:t>
            </w:r>
            <w:r w:rsidRPr="00877179">
              <w:rPr>
                <w:rFonts w:ascii="標楷體" w:eastAsia="標楷體" w:hAnsi="標楷體"/>
              </w:rPr>
              <w:t>得單獨聲請法院宣告沒收。</w:t>
            </w:r>
          </w:p>
          <w:p w:rsidR="009322B1" w:rsidRPr="00246983" w:rsidRDefault="009322B1" w:rsidP="00AF5E88">
            <w:pPr>
              <w:snapToGrid w:val="0"/>
              <w:ind w:left="240" w:hangingChars="100" w:hanging="240"/>
              <w:jc w:val="both"/>
              <w:rPr>
                <w:rFonts w:ascii="標楷體" w:eastAsia="標楷體" w:hAnsi="標楷體" w:cs="標楷體"/>
                <w:kern w:val="0"/>
              </w:rPr>
            </w:pPr>
          </w:p>
        </w:tc>
        <w:tc>
          <w:tcPr>
            <w:tcW w:w="1610" w:type="pct"/>
            <w:tcMar>
              <w:left w:w="0" w:type="dxa"/>
              <w:right w:w="0" w:type="dxa"/>
            </w:tcMar>
          </w:tcPr>
          <w:p w:rsidR="009322B1" w:rsidRPr="00B14D77" w:rsidRDefault="00246983" w:rsidP="00B263AE">
            <w:pPr>
              <w:snapToGrid w:val="0"/>
              <w:ind w:left="238" w:hanging="238"/>
              <w:jc w:val="both"/>
              <w:rPr>
                <w:rFonts w:ascii="標楷體" w:eastAsia="標楷體" w:hAnsi="標楷體"/>
              </w:rPr>
            </w:pPr>
            <w:r w:rsidRPr="00877179">
              <w:rPr>
                <w:rFonts w:ascii="標楷體" w:eastAsia="標楷體" w:hAnsi="標楷體" w:hint="eastAsia"/>
              </w:rPr>
              <w:t>第二百五十九條之一</w:t>
            </w:r>
            <w:r w:rsidRPr="00877179">
              <w:rPr>
                <w:rFonts w:ascii="標楷體" w:eastAsia="標楷體" w:hAnsi="標楷體"/>
              </w:rPr>
              <w:t xml:space="preserve">  檢察官依第二百五十三條或第二百五十三條之一為不起訴或緩起訴之處分者，對</w:t>
            </w:r>
            <w:r w:rsidRPr="00246983">
              <w:rPr>
                <w:rFonts w:ascii="標楷體" w:eastAsia="標楷體" w:hAnsi="標楷體"/>
                <w:u w:val="single"/>
              </w:rPr>
              <w:t>供犯罪所用、供犯罪預備或因犯罪所得之物，</w:t>
            </w:r>
            <w:r w:rsidRPr="00877179">
              <w:rPr>
                <w:rFonts w:ascii="標楷體" w:eastAsia="標楷體" w:hAnsi="標楷體"/>
                <w:u w:val="single"/>
              </w:rPr>
              <w:t>以屬於被告者為限</w:t>
            </w:r>
            <w:r w:rsidRPr="00877179">
              <w:rPr>
                <w:rFonts w:ascii="標楷體" w:eastAsia="標楷體" w:hAnsi="標楷體"/>
              </w:rPr>
              <w:t>，得單獨聲請法院宣告沒收。</w:t>
            </w:r>
          </w:p>
        </w:tc>
        <w:tc>
          <w:tcPr>
            <w:tcW w:w="1615" w:type="pct"/>
          </w:tcPr>
          <w:p w:rsidR="009322B1" w:rsidRPr="00406555" w:rsidRDefault="00A068E7" w:rsidP="00246983">
            <w:pPr>
              <w:jc w:val="both"/>
              <w:rPr>
                <w:rFonts w:ascii="標楷體" w:eastAsia="標楷體" w:hAnsi="標楷體"/>
                <w:szCs w:val="24"/>
                <w:u w:val="single"/>
              </w:rPr>
            </w:pPr>
            <w:r w:rsidRPr="00BB3221">
              <w:rPr>
                <w:rFonts w:ascii="標楷體" w:eastAsia="標楷體" w:hAnsi="標楷體" w:hint="eastAsia"/>
              </w:rPr>
              <w:t>配合刑法關於沒收制度之重大變革</w:t>
            </w:r>
            <w:r w:rsidR="00D53AE5" w:rsidRPr="00406555">
              <w:rPr>
                <w:rFonts w:ascii="標楷體" w:eastAsia="標楷體" w:hAnsi="標楷體"/>
              </w:rPr>
              <w:t>，</w:t>
            </w:r>
            <w:r w:rsidR="001E4611" w:rsidRPr="00406555">
              <w:rPr>
                <w:rFonts w:ascii="標楷體" w:eastAsia="標楷體" w:hAnsi="標楷體" w:hint="eastAsia"/>
              </w:rPr>
              <w:t>沒收與犯罪有密切關係之財產，已不以被告所有者為限，且沒收標的除供犯罪所用或犯罪預備之物及犯罪所得外，尚包括犯罪所生之物</w:t>
            </w:r>
            <w:r w:rsidR="00246983" w:rsidRPr="00406555">
              <w:rPr>
                <w:rFonts w:ascii="標楷體" w:eastAsia="標楷體" w:hAnsi="標楷體" w:hint="eastAsia"/>
                <w:szCs w:val="24"/>
              </w:rPr>
              <w:t>，爰配合修正本條。</w:t>
            </w:r>
          </w:p>
        </w:tc>
      </w:tr>
      <w:tr w:rsidR="004B4F08" w:rsidRPr="00B14D77" w:rsidTr="00AF5E88">
        <w:trPr>
          <w:trHeight w:val="1"/>
        </w:trPr>
        <w:tc>
          <w:tcPr>
            <w:tcW w:w="1775" w:type="pct"/>
            <w:tcMar>
              <w:left w:w="0" w:type="dxa"/>
              <w:right w:w="0" w:type="dxa"/>
            </w:tcMar>
          </w:tcPr>
          <w:p w:rsidR="00287A41" w:rsidRPr="00EC50B8" w:rsidRDefault="00287A41" w:rsidP="00B263AE">
            <w:pPr>
              <w:pStyle w:val="af0"/>
              <w:spacing w:after="0" w:line="240" w:lineRule="auto"/>
              <w:ind w:left="240" w:hanging="240"/>
              <w:jc w:val="both"/>
              <w:rPr>
                <w:rFonts w:ascii="標楷體" w:eastAsia="標楷體" w:hAnsi="標楷體"/>
              </w:rPr>
            </w:pPr>
            <w:r w:rsidRPr="00EC50B8">
              <w:rPr>
                <w:rFonts w:ascii="標楷體" w:eastAsia="標楷體" w:hAnsi="標楷體" w:hint="eastAsia"/>
              </w:rPr>
              <w:t>第三百零九條</w:t>
            </w:r>
            <w:r w:rsidRPr="00EC50B8">
              <w:rPr>
                <w:rFonts w:ascii="標楷體" w:eastAsia="標楷體" w:hAnsi="標楷體"/>
              </w:rPr>
              <w:t xml:space="preserve">  </w:t>
            </w:r>
            <w:r w:rsidRPr="00EC50B8">
              <w:rPr>
                <w:rFonts w:ascii="標楷體" w:eastAsia="標楷體" w:hAnsi="標楷體"/>
                <w:kern w:val="0"/>
              </w:rPr>
              <w:t>有罪之判決書，應於主文內載明所犯之罪，並分別情形，記載下列事項：</w:t>
            </w:r>
          </w:p>
          <w:p w:rsidR="00287A41" w:rsidRDefault="00B263AE" w:rsidP="00B263AE">
            <w:pPr>
              <w:ind w:leftChars="100" w:left="720" w:hangingChars="200" w:hanging="480"/>
              <w:rPr>
                <w:rFonts w:ascii="標楷體" w:eastAsia="標楷體" w:hAnsi="標楷體"/>
                <w:kern w:val="0"/>
              </w:rPr>
            </w:pPr>
            <w:r w:rsidRPr="00B263AE">
              <w:rPr>
                <w:rFonts w:ascii="標楷體" w:eastAsia="標楷體" w:hAnsi="標楷體" w:hint="eastAsia"/>
                <w:kern w:val="0"/>
              </w:rPr>
              <w:t>一</w:t>
            </w:r>
            <w:r>
              <w:rPr>
                <w:rFonts w:ascii="標楷體" w:eastAsia="標楷體" w:hAnsi="標楷體" w:hint="eastAsia"/>
                <w:kern w:val="0"/>
              </w:rPr>
              <w:t>、</w:t>
            </w:r>
            <w:r w:rsidR="00287A41" w:rsidRPr="00B263AE">
              <w:rPr>
                <w:rFonts w:ascii="標楷體" w:eastAsia="標楷體" w:hAnsi="標楷體"/>
                <w:kern w:val="0"/>
              </w:rPr>
              <w:t>諭知之主刑、從刑</w:t>
            </w:r>
            <w:r w:rsidR="00287A41" w:rsidRPr="00B263AE">
              <w:rPr>
                <w:rFonts w:ascii="標楷體" w:eastAsia="標楷體" w:hAnsi="標楷體" w:hint="eastAsia"/>
                <w:kern w:val="0"/>
                <w:u w:val="single"/>
              </w:rPr>
              <w:t>、</w:t>
            </w:r>
            <w:r w:rsidR="00287A41" w:rsidRPr="00B263AE">
              <w:rPr>
                <w:rFonts w:ascii="標楷體" w:eastAsia="標楷體" w:hAnsi="標楷體"/>
                <w:kern w:val="0"/>
              </w:rPr>
              <w:t>刑之免除</w:t>
            </w:r>
            <w:r w:rsidR="00287A41" w:rsidRPr="00B263AE">
              <w:rPr>
                <w:rFonts w:ascii="標楷體" w:eastAsia="標楷體" w:hAnsi="標楷體" w:hint="eastAsia"/>
                <w:kern w:val="0"/>
                <w:u w:val="single"/>
              </w:rPr>
              <w:t>或沒收</w:t>
            </w:r>
            <w:r w:rsidR="00287A41" w:rsidRPr="00B263AE">
              <w:rPr>
                <w:rFonts w:ascii="標楷體" w:eastAsia="標楷體" w:hAnsi="標楷體"/>
                <w:kern w:val="0"/>
              </w:rPr>
              <w:t>。</w:t>
            </w:r>
          </w:p>
          <w:p w:rsidR="00287A41" w:rsidRDefault="00B263AE" w:rsidP="00B263AE">
            <w:pPr>
              <w:ind w:leftChars="100" w:left="720" w:hangingChars="200" w:hanging="480"/>
              <w:rPr>
                <w:rFonts w:ascii="標楷體" w:eastAsia="標楷體" w:hAnsi="標楷體"/>
                <w:kern w:val="0"/>
              </w:rPr>
            </w:pPr>
            <w:r>
              <w:rPr>
                <w:rFonts w:ascii="標楷體" w:eastAsia="標楷體" w:hAnsi="標楷體" w:hint="eastAsia"/>
                <w:kern w:val="0"/>
              </w:rPr>
              <w:t>二、</w:t>
            </w:r>
            <w:r w:rsidR="00287A41" w:rsidRPr="00EC50B8">
              <w:rPr>
                <w:rFonts w:ascii="標楷體" w:eastAsia="標楷體" w:hAnsi="標楷體"/>
                <w:kern w:val="0"/>
              </w:rPr>
              <w:t>諭知有期徒刑或拘役者，如易科罰金，其折算之標準。</w:t>
            </w:r>
          </w:p>
          <w:p w:rsidR="00287A41" w:rsidRDefault="00B263AE" w:rsidP="00B263AE">
            <w:pPr>
              <w:ind w:leftChars="100" w:left="720" w:hangingChars="200" w:hanging="480"/>
              <w:rPr>
                <w:rFonts w:ascii="標楷體" w:eastAsia="標楷體" w:hAnsi="標楷體"/>
                <w:kern w:val="0"/>
              </w:rPr>
            </w:pPr>
            <w:r>
              <w:rPr>
                <w:rFonts w:ascii="標楷體" w:eastAsia="標楷體" w:hAnsi="標楷體" w:hint="eastAsia"/>
                <w:kern w:val="0"/>
              </w:rPr>
              <w:t>三、</w:t>
            </w:r>
            <w:r w:rsidR="00287A41" w:rsidRPr="00EC50B8">
              <w:rPr>
                <w:rFonts w:ascii="標楷體" w:eastAsia="標楷體" w:hAnsi="標楷體"/>
                <w:kern w:val="0"/>
              </w:rPr>
              <w:t>諭知罰金者，如易服勞役，其折算之標準。</w:t>
            </w:r>
          </w:p>
          <w:p w:rsidR="00287A41" w:rsidRDefault="00B263AE" w:rsidP="00B263AE">
            <w:pPr>
              <w:ind w:leftChars="100" w:left="720" w:hangingChars="200" w:hanging="480"/>
              <w:rPr>
                <w:rFonts w:ascii="標楷體" w:eastAsia="標楷體" w:hAnsi="標楷體"/>
                <w:kern w:val="0"/>
              </w:rPr>
            </w:pPr>
            <w:r>
              <w:rPr>
                <w:rFonts w:ascii="標楷體" w:eastAsia="標楷體" w:hAnsi="標楷體" w:hint="eastAsia"/>
                <w:kern w:val="0"/>
              </w:rPr>
              <w:t>四、</w:t>
            </w:r>
            <w:r w:rsidR="00287A41" w:rsidRPr="00EC50B8">
              <w:rPr>
                <w:rFonts w:ascii="標楷體" w:eastAsia="標楷體" w:hAnsi="標楷體"/>
                <w:kern w:val="0"/>
              </w:rPr>
              <w:t>諭知易以訓誡者，其諭知。</w:t>
            </w:r>
          </w:p>
          <w:p w:rsidR="00287A41" w:rsidRDefault="00B263AE" w:rsidP="00B263AE">
            <w:pPr>
              <w:ind w:leftChars="100" w:left="720" w:hangingChars="200" w:hanging="480"/>
              <w:rPr>
                <w:rFonts w:ascii="標楷體" w:eastAsia="標楷體" w:hAnsi="標楷體"/>
                <w:kern w:val="0"/>
              </w:rPr>
            </w:pPr>
            <w:r>
              <w:rPr>
                <w:rFonts w:ascii="標楷體" w:eastAsia="標楷體" w:hAnsi="標楷體" w:hint="eastAsia"/>
                <w:kern w:val="0"/>
              </w:rPr>
              <w:t>五、</w:t>
            </w:r>
            <w:r w:rsidR="00287A41" w:rsidRPr="00EC50B8">
              <w:rPr>
                <w:rFonts w:ascii="標楷體" w:eastAsia="標楷體" w:hAnsi="標楷體"/>
                <w:kern w:val="0"/>
              </w:rPr>
              <w:t>諭知緩刑者，其緩刑之期間。</w:t>
            </w:r>
          </w:p>
          <w:p w:rsidR="004B4F08" w:rsidRPr="00287A41" w:rsidRDefault="00B263AE" w:rsidP="00B263AE">
            <w:pPr>
              <w:ind w:leftChars="100" w:left="720" w:hangingChars="200" w:hanging="480"/>
              <w:rPr>
                <w:rFonts w:ascii="標楷體" w:eastAsia="標楷體" w:hAnsi="標楷體"/>
                <w:kern w:val="0"/>
              </w:rPr>
            </w:pPr>
            <w:r>
              <w:rPr>
                <w:rFonts w:ascii="標楷體" w:eastAsia="標楷體" w:hAnsi="標楷體" w:hint="eastAsia"/>
                <w:kern w:val="0"/>
              </w:rPr>
              <w:t>六、</w:t>
            </w:r>
            <w:r w:rsidR="00287A41" w:rsidRPr="00287A41">
              <w:rPr>
                <w:rFonts w:ascii="標楷體" w:eastAsia="標楷體" w:hAnsi="標楷體" w:cs="新細明體"/>
                <w:kern w:val="0"/>
              </w:rPr>
              <w:t>諭知保安處分者，其處分及期間</w:t>
            </w:r>
            <w:r w:rsidR="00287A41" w:rsidRPr="00287A41">
              <w:rPr>
                <w:rFonts w:ascii="標楷體" w:eastAsia="標楷體" w:hAnsi="標楷體" w:cs="新細明體" w:hint="eastAsia"/>
                <w:kern w:val="0"/>
              </w:rPr>
              <w:t>。</w:t>
            </w:r>
          </w:p>
        </w:tc>
        <w:tc>
          <w:tcPr>
            <w:tcW w:w="1610" w:type="pct"/>
            <w:tcMar>
              <w:left w:w="0" w:type="dxa"/>
              <w:right w:w="0" w:type="dxa"/>
            </w:tcMar>
          </w:tcPr>
          <w:p w:rsidR="00783BF1" w:rsidRDefault="00783BF1" w:rsidP="006663F2">
            <w:pPr>
              <w:pStyle w:val="af0"/>
              <w:spacing w:after="0" w:line="240" w:lineRule="auto"/>
              <w:ind w:left="240" w:hanging="240"/>
              <w:jc w:val="both"/>
              <w:rPr>
                <w:rFonts w:ascii="標楷體" w:eastAsia="標楷體" w:hAnsi="標楷體"/>
                <w:kern w:val="0"/>
              </w:rPr>
            </w:pPr>
            <w:r w:rsidRPr="0034383B">
              <w:rPr>
                <w:rFonts w:ascii="標楷體" w:eastAsia="標楷體" w:hAnsi="標楷體" w:hint="eastAsia"/>
              </w:rPr>
              <w:t>第三百零九條</w:t>
            </w:r>
            <w:r w:rsidRPr="0034383B">
              <w:rPr>
                <w:rFonts w:ascii="標楷體" w:eastAsia="標楷體" w:hAnsi="標楷體"/>
              </w:rPr>
              <w:t xml:space="preserve">  </w:t>
            </w:r>
            <w:r w:rsidRPr="0034383B">
              <w:rPr>
                <w:rFonts w:ascii="標楷體" w:eastAsia="標楷體" w:hAnsi="標楷體"/>
                <w:kern w:val="0"/>
              </w:rPr>
              <w:t>有罪之判決書，應於主文內載明所犯之罪，並分別情形，記載下列事項：</w:t>
            </w:r>
          </w:p>
          <w:p w:rsidR="009D550D" w:rsidRDefault="00B263AE" w:rsidP="009D550D">
            <w:pPr>
              <w:pStyle w:val="af0"/>
              <w:spacing w:after="0" w:line="240" w:lineRule="auto"/>
              <w:ind w:left="720" w:hangingChars="300" w:hanging="720"/>
              <w:rPr>
                <w:rFonts w:ascii="標楷體" w:eastAsia="標楷體" w:hAnsi="標楷體"/>
                <w:kern w:val="0"/>
              </w:rPr>
            </w:pPr>
            <w:r>
              <w:rPr>
                <w:rFonts w:ascii="標楷體" w:eastAsia="標楷體" w:hAnsi="標楷體" w:hint="eastAsia"/>
                <w:kern w:val="0"/>
              </w:rPr>
              <w:t xml:space="preserve">  一、</w:t>
            </w:r>
            <w:r w:rsidR="00783BF1" w:rsidRPr="0034383B">
              <w:rPr>
                <w:rFonts w:ascii="標楷體" w:eastAsia="標楷體" w:hAnsi="標楷體"/>
                <w:kern w:val="0"/>
              </w:rPr>
              <w:t>諭知之主刑、從刑</w:t>
            </w:r>
            <w:r w:rsidR="00783BF1" w:rsidRPr="0034383B">
              <w:rPr>
                <w:rFonts w:ascii="標楷體" w:eastAsia="標楷體" w:hAnsi="標楷體"/>
                <w:kern w:val="0"/>
                <w:u w:val="single"/>
              </w:rPr>
              <w:t>或</w:t>
            </w:r>
            <w:r w:rsidR="00783BF1" w:rsidRPr="0034383B">
              <w:rPr>
                <w:rFonts w:ascii="標楷體" w:eastAsia="標楷體" w:hAnsi="標楷體"/>
                <w:kern w:val="0"/>
              </w:rPr>
              <w:t>刑</w:t>
            </w:r>
          </w:p>
          <w:p w:rsidR="00783BF1" w:rsidRDefault="00783BF1" w:rsidP="009D550D">
            <w:pPr>
              <w:pStyle w:val="af0"/>
              <w:spacing w:after="0" w:line="240" w:lineRule="auto"/>
              <w:ind w:leftChars="270" w:left="648" w:firstLineChars="30" w:firstLine="72"/>
              <w:rPr>
                <w:rFonts w:ascii="標楷體" w:eastAsia="標楷體" w:hAnsi="標楷體"/>
                <w:kern w:val="0"/>
              </w:rPr>
            </w:pPr>
            <w:r w:rsidRPr="0034383B">
              <w:rPr>
                <w:rFonts w:ascii="標楷體" w:eastAsia="標楷體" w:hAnsi="標楷體"/>
                <w:kern w:val="0"/>
              </w:rPr>
              <w:t>之免除。</w:t>
            </w:r>
          </w:p>
          <w:p w:rsidR="00C416FC" w:rsidRDefault="005746B1" w:rsidP="005746B1">
            <w:pPr>
              <w:pStyle w:val="af0"/>
              <w:spacing w:after="0" w:line="240" w:lineRule="auto"/>
              <w:ind w:firstLineChars="100" w:firstLine="240"/>
              <w:rPr>
                <w:rFonts w:ascii="標楷體" w:eastAsia="標楷體" w:hAnsi="標楷體"/>
                <w:kern w:val="0"/>
              </w:rPr>
            </w:pPr>
            <w:r>
              <w:rPr>
                <w:rFonts w:ascii="標楷體" w:eastAsia="標楷體" w:hAnsi="標楷體" w:hint="eastAsia"/>
                <w:kern w:val="0"/>
              </w:rPr>
              <w:t>二、</w:t>
            </w:r>
            <w:r w:rsidR="00783BF1" w:rsidRPr="0034383B">
              <w:rPr>
                <w:rFonts w:ascii="標楷體" w:eastAsia="標楷體" w:hAnsi="標楷體"/>
                <w:kern w:val="0"/>
              </w:rPr>
              <w:t>諭知有期徒刑或拘役</w:t>
            </w:r>
            <w:r w:rsidR="00C416FC">
              <w:rPr>
                <w:rFonts w:ascii="標楷體" w:eastAsia="標楷體" w:hAnsi="標楷體" w:hint="eastAsia"/>
                <w:kern w:val="0"/>
              </w:rPr>
              <w:t>者</w:t>
            </w:r>
          </w:p>
          <w:p w:rsidR="00783BF1" w:rsidRDefault="00783BF1" w:rsidP="005746B1">
            <w:pPr>
              <w:ind w:leftChars="250" w:left="600"/>
              <w:rPr>
                <w:rFonts w:ascii="標楷體" w:eastAsia="標楷體" w:hAnsi="標楷體"/>
                <w:kern w:val="0"/>
              </w:rPr>
            </w:pPr>
            <w:r w:rsidRPr="0034383B">
              <w:rPr>
                <w:rFonts w:ascii="標楷體" w:eastAsia="標楷體" w:hAnsi="標楷體"/>
                <w:kern w:val="0"/>
              </w:rPr>
              <w:t>，如易科罰金，其折算之標準。</w:t>
            </w:r>
          </w:p>
          <w:p w:rsidR="00783BF1" w:rsidRDefault="005746B1" w:rsidP="005746B1">
            <w:pPr>
              <w:ind w:leftChars="100" w:left="648" w:hangingChars="170" w:hanging="408"/>
              <w:rPr>
                <w:rFonts w:ascii="標楷體" w:eastAsia="標楷體" w:hAnsi="標楷體"/>
                <w:kern w:val="0"/>
              </w:rPr>
            </w:pPr>
            <w:r>
              <w:rPr>
                <w:rFonts w:ascii="標楷體" w:eastAsia="標楷體" w:hAnsi="標楷體" w:hint="eastAsia"/>
                <w:kern w:val="0"/>
              </w:rPr>
              <w:t>三、</w:t>
            </w:r>
            <w:r w:rsidR="00783BF1" w:rsidRPr="0034383B">
              <w:rPr>
                <w:rFonts w:ascii="標楷體" w:eastAsia="標楷體" w:hAnsi="標楷體"/>
                <w:kern w:val="0"/>
              </w:rPr>
              <w:t>諭知罰金者，如易服勞役，其折算之標準。</w:t>
            </w:r>
          </w:p>
          <w:p w:rsidR="00783BF1" w:rsidRDefault="005746B1" w:rsidP="005746B1">
            <w:pPr>
              <w:ind w:leftChars="100" w:left="648" w:hangingChars="170" w:hanging="408"/>
              <w:rPr>
                <w:rFonts w:ascii="標楷體" w:eastAsia="標楷體" w:hAnsi="標楷體"/>
                <w:kern w:val="0"/>
              </w:rPr>
            </w:pPr>
            <w:r>
              <w:rPr>
                <w:rFonts w:ascii="標楷體" w:eastAsia="標楷體" w:hAnsi="標楷體" w:hint="eastAsia"/>
                <w:kern w:val="0"/>
              </w:rPr>
              <w:t>四、</w:t>
            </w:r>
            <w:r w:rsidR="00783BF1" w:rsidRPr="0034383B">
              <w:rPr>
                <w:rFonts w:ascii="標楷體" w:eastAsia="標楷體" w:hAnsi="標楷體"/>
                <w:kern w:val="0"/>
              </w:rPr>
              <w:t>諭知易以訓誡者，其諭知。</w:t>
            </w:r>
          </w:p>
          <w:p w:rsidR="00783BF1" w:rsidRDefault="005746B1" w:rsidP="005746B1">
            <w:pPr>
              <w:ind w:leftChars="100" w:left="648" w:hangingChars="170" w:hanging="408"/>
              <w:rPr>
                <w:rFonts w:ascii="標楷體" w:eastAsia="標楷體" w:hAnsi="標楷體"/>
                <w:kern w:val="0"/>
              </w:rPr>
            </w:pPr>
            <w:r>
              <w:rPr>
                <w:rFonts w:ascii="標楷體" w:eastAsia="標楷體" w:hAnsi="標楷體" w:hint="eastAsia"/>
                <w:kern w:val="0"/>
              </w:rPr>
              <w:t>五、</w:t>
            </w:r>
            <w:r w:rsidR="00783BF1" w:rsidRPr="0034383B">
              <w:rPr>
                <w:rFonts w:ascii="標楷體" w:eastAsia="標楷體" w:hAnsi="標楷體"/>
                <w:kern w:val="0"/>
              </w:rPr>
              <w:t>諭知緩刑者，其緩刑之期間。</w:t>
            </w:r>
          </w:p>
          <w:p w:rsidR="00783BF1" w:rsidRPr="0034383B" w:rsidRDefault="005746B1" w:rsidP="005746B1">
            <w:pPr>
              <w:ind w:leftChars="100" w:left="648" w:hangingChars="170" w:hanging="408"/>
              <w:rPr>
                <w:rFonts w:ascii="標楷體" w:eastAsia="標楷體" w:hAnsi="標楷體"/>
                <w:kern w:val="0"/>
              </w:rPr>
            </w:pPr>
            <w:r>
              <w:rPr>
                <w:rFonts w:ascii="標楷體" w:eastAsia="標楷體" w:hAnsi="標楷體" w:hint="eastAsia"/>
                <w:kern w:val="0"/>
              </w:rPr>
              <w:t>六、</w:t>
            </w:r>
            <w:r w:rsidR="00783BF1" w:rsidRPr="0034383B">
              <w:rPr>
                <w:rFonts w:ascii="標楷體" w:eastAsia="標楷體" w:hAnsi="標楷體" w:cs="新細明體"/>
                <w:kern w:val="0"/>
              </w:rPr>
              <w:t>諭知保安處分者，其處分及期間</w:t>
            </w:r>
          </w:p>
          <w:p w:rsidR="004B4F08" w:rsidRPr="00783BF1" w:rsidRDefault="004B4F08" w:rsidP="00AF5E88">
            <w:pPr>
              <w:snapToGrid w:val="0"/>
              <w:ind w:left="240" w:hanging="240"/>
              <w:jc w:val="both"/>
              <w:rPr>
                <w:rFonts w:ascii="標楷體" w:eastAsia="標楷體" w:hAnsi="標楷體"/>
              </w:rPr>
            </w:pPr>
          </w:p>
        </w:tc>
        <w:tc>
          <w:tcPr>
            <w:tcW w:w="1615" w:type="pct"/>
          </w:tcPr>
          <w:p w:rsidR="004B4F08" w:rsidRPr="00783BF1" w:rsidRDefault="00A068E7" w:rsidP="00783BF1">
            <w:pPr>
              <w:rPr>
                <w:rFonts w:ascii="標楷體" w:eastAsia="標楷體" w:hAnsi="標楷體"/>
              </w:rPr>
            </w:pPr>
            <w:r w:rsidRPr="00BB3221">
              <w:rPr>
                <w:rFonts w:ascii="標楷體" w:eastAsia="標楷體" w:hAnsi="標楷體" w:hint="eastAsia"/>
              </w:rPr>
              <w:t>配合刑法關於沒收制度之重大變革</w:t>
            </w:r>
            <w:r w:rsidR="00783BF1" w:rsidRPr="00783BF1">
              <w:rPr>
                <w:rFonts w:ascii="標楷體" w:eastAsia="標楷體" w:hAnsi="標楷體"/>
              </w:rPr>
              <w:t>，</w:t>
            </w:r>
            <w:r w:rsidR="00783BF1" w:rsidRPr="00783BF1">
              <w:rPr>
                <w:rFonts w:ascii="標楷體" w:eastAsia="標楷體" w:hAnsi="標楷體" w:hint="eastAsia"/>
              </w:rPr>
              <w:t>沒收已非從刑，故增訂主文記載事項包括沒收，以應實需。</w:t>
            </w:r>
          </w:p>
        </w:tc>
      </w:tr>
      <w:tr w:rsidR="00C64AA6" w:rsidRPr="003873F6" w:rsidTr="00111886">
        <w:trPr>
          <w:trHeight w:val="1"/>
        </w:trPr>
        <w:tc>
          <w:tcPr>
            <w:tcW w:w="1775" w:type="pct"/>
            <w:tcMar>
              <w:left w:w="0" w:type="dxa"/>
              <w:right w:w="0" w:type="dxa"/>
            </w:tcMar>
          </w:tcPr>
          <w:p w:rsidR="00C64AA6" w:rsidRPr="00B14D77" w:rsidRDefault="00C64AA6" w:rsidP="00A3540D">
            <w:pPr>
              <w:snapToGrid w:val="0"/>
              <w:ind w:left="240" w:hangingChars="100" w:hanging="240"/>
              <w:jc w:val="both"/>
              <w:rPr>
                <w:rFonts w:ascii="標楷體" w:eastAsia="標楷體" w:hAnsi="標楷體" w:cs="標楷體"/>
                <w:kern w:val="0"/>
              </w:rPr>
            </w:pPr>
            <w:r w:rsidRPr="00B14D77">
              <w:rPr>
                <w:rFonts w:ascii="標楷體" w:eastAsia="標楷體" w:hAnsi="標楷體" w:hint="eastAsia"/>
                <w:szCs w:val="24"/>
              </w:rPr>
              <w:t>第七編之二</w:t>
            </w:r>
            <w:r w:rsidRPr="00B14D77">
              <w:rPr>
                <w:rFonts w:ascii="標楷體" w:eastAsia="標楷體" w:hAnsi="標楷體"/>
                <w:szCs w:val="24"/>
              </w:rPr>
              <w:t xml:space="preserve">  </w:t>
            </w:r>
            <w:r w:rsidR="00BA68A7">
              <w:rPr>
                <w:rFonts w:ascii="標楷體" w:eastAsia="標楷體" w:hAnsi="標楷體" w:hint="eastAsia"/>
                <w:szCs w:val="24"/>
              </w:rPr>
              <w:t>沒收特別</w:t>
            </w:r>
            <w:r w:rsidRPr="00B14D77">
              <w:rPr>
                <w:rFonts w:ascii="標楷體" w:eastAsia="標楷體" w:hAnsi="標楷體" w:hint="eastAsia"/>
                <w:szCs w:val="24"/>
              </w:rPr>
              <w:t>程序</w:t>
            </w:r>
          </w:p>
        </w:tc>
        <w:tc>
          <w:tcPr>
            <w:tcW w:w="1610" w:type="pct"/>
            <w:tcMar>
              <w:left w:w="0" w:type="dxa"/>
              <w:right w:w="0" w:type="dxa"/>
            </w:tcMar>
          </w:tcPr>
          <w:p w:rsidR="00C64AA6" w:rsidRPr="00B14D77" w:rsidRDefault="00C64AA6" w:rsidP="00A3540D">
            <w:pPr>
              <w:snapToGrid w:val="0"/>
              <w:ind w:left="240" w:hanging="240"/>
              <w:jc w:val="both"/>
              <w:rPr>
                <w:rFonts w:ascii="標楷體" w:eastAsia="標楷體" w:hAnsi="標楷體"/>
              </w:rPr>
            </w:pPr>
          </w:p>
        </w:tc>
        <w:tc>
          <w:tcPr>
            <w:tcW w:w="1615" w:type="pct"/>
          </w:tcPr>
          <w:p w:rsidR="00C64AA6" w:rsidRDefault="00430EE4" w:rsidP="00721858">
            <w:pPr>
              <w:pStyle w:val="a7"/>
              <w:numPr>
                <w:ilvl w:val="0"/>
                <w:numId w:val="32"/>
              </w:numPr>
              <w:ind w:leftChars="0"/>
              <w:jc w:val="both"/>
              <w:rPr>
                <w:rFonts w:ascii="標楷體" w:eastAsia="標楷體" w:hAnsi="標楷體"/>
                <w:szCs w:val="24"/>
                <w:u w:val="single"/>
              </w:rPr>
            </w:pPr>
            <w:r w:rsidRPr="00721858">
              <w:rPr>
                <w:rFonts w:ascii="標楷體" w:eastAsia="標楷體" w:hAnsi="標楷體" w:hint="eastAsia"/>
                <w:szCs w:val="24"/>
                <w:u w:val="single"/>
              </w:rPr>
              <w:t>本編</w:t>
            </w:r>
            <w:r w:rsidR="00C64AA6" w:rsidRPr="00721858">
              <w:rPr>
                <w:rFonts w:ascii="標楷體" w:eastAsia="標楷體" w:hAnsi="標楷體" w:hint="eastAsia"/>
                <w:szCs w:val="24"/>
                <w:u w:val="single"/>
              </w:rPr>
              <w:t>新增。</w:t>
            </w:r>
          </w:p>
          <w:p w:rsidR="00721858" w:rsidRPr="001831F7" w:rsidRDefault="001831F7" w:rsidP="001831F7">
            <w:pPr>
              <w:pStyle w:val="a7"/>
              <w:numPr>
                <w:ilvl w:val="0"/>
                <w:numId w:val="32"/>
              </w:numPr>
              <w:ind w:leftChars="0"/>
              <w:jc w:val="both"/>
              <w:rPr>
                <w:rFonts w:ascii="標楷體" w:eastAsia="標楷體" w:hAnsi="標楷體"/>
                <w:szCs w:val="24"/>
              </w:rPr>
            </w:pPr>
            <w:r w:rsidRPr="001831F7">
              <w:rPr>
                <w:rFonts w:ascii="標楷體" w:eastAsia="標楷體" w:hAnsi="標楷體" w:hint="eastAsia"/>
              </w:rPr>
              <w:t>為建構刑法修正草案新</w:t>
            </w:r>
            <w:r w:rsidR="00F62919">
              <w:rPr>
                <w:rFonts w:ascii="標楷體" w:eastAsia="標楷體" w:hAnsi="標楷體" w:hint="eastAsia"/>
              </w:rPr>
              <w:lastRenderedPageBreak/>
              <w:t>增剝奪被告以外第三人財產，擴大單獨聲請宣告沒收之適用範圍，及特別刑</w:t>
            </w:r>
            <w:r w:rsidRPr="001831F7">
              <w:rPr>
                <w:rFonts w:ascii="標楷體" w:eastAsia="標楷體" w:hAnsi="標楷體" w:hint="eastAsia"/>
              </w:rPr>
              <w:t>法中既有之沒收第三人財產等實體規範，所應恪遵之正當程序</w:t>
            </w:r>
            <w:r w:rsidR="00DC5E2B" w:rsidRPr="00BB3221">
              <w:rPr>
                <w:rFonts w:ascii="標楷體" w:eastAsia="標楷體" w:hAnsi="標楷體" w:hint="eastAsia"/>
                <w:kern w:val="0"/>
              </w:rPr>
              <w:t>，</w:t>
            </w:r>
            <w:r w:rsidR="00721858" w:rsidRPr="00BB3221">
              <w:rPr>
                <w:rFonts w:ascii="標楷體" w:eastAsia="標楷體" w:hAnsi="標楷體" w:hint="eastAsia"/>
                <w:kern w:val="0"/>
              </w:rPr>
              <w:t>爰參考</w:t>
            </w:r>
            <w:r w:rsidR="00721858" w:rsidRPr="00BB3221">
              <w:rPr>
                <w:rFonts w:ascii="標楷體" w:eastAsia="標楷體" w:hAnsi="標楷體" w:hint="eastAsia"/>
              </w:rPr>
              <w:t>德國刑事訴訟法、日本關於刑事案件中沒收第三人所有物程序之應急對策法</w:t>
            </w:r>
            <w:r w:rsidR="00DC5E2B" w:rsidRPr="00BB3221">
              <w:rPr>
                <w:rFonts w:ascii="標楷體" w:eastAsia="標楷體" w:hAnsi="標楷體" w:hint="eastAsia"/>
              </w:rPr>
              <w:t>(下稱日本應急對策法)</w:t>
            </w:r>
            <w:r w:rsidR="00721858" w:rsidRPr="00BB3221">
              <w:rPr>
                <w:rFonts w:ascii="標楷體" w:eastAsia="標楷體" w:hAnsi="標楷體" w:hint="eastAsia"/>
              </w:rPr>
              <w:t>之規定，</w:t>
            </w:r>
            <w:r w:rsidR="00721858" w:rsidRPr="00BB3221">
              <w:rPr>
                <w:rFonts w:ascii="標楷體" w:eastAsia="標楷體" w:hAnsi="標楷體" w:hint="eastAsia"/>
                <w:kern w:val="0"/>
              </w:rPr>
              <w:t>建制相關程序規範，以資遵循</w:t>
            </w:r>
            <w:r w:rsidR="00D71FB6">
              <w:rPr>
                <w:rFonts w:ascii="標楷體" w:eastAsia="標楷體" w:hAnsi="標楷體" w:hint="eastAsia"/>
              </w:rPr>
              <w:t>，並</w:t>
            </w:r>
            <w:r w:rsidR="00D71FB6" w:rsidRPr="00505709">
              <w:rPr>
                <w:rFonts w:ascii="標楷體" w:eastAsia="標楷體" w:hAnsi="標楷體" w:hint="eastAsia"/>
              </w:rPr>
              <w:t>參考</w:t>
            </w:r>
            <w:r w:rsidR="00721858" w:rsidRPr="00BB3221">
              <w:rPr>
                <w:rFonts w:ascii="標楷體" w:eastAsia="標楷體" w:hAnsi="標楷體" w:hint="eastAsia"/>
              </w:rPr>
              <w:t>德國刑事訴訟法體例，</w:t>
            </w:r>
            <w:r w:rsidRPr="001831F7">
              <w:rPr>
                <w:rFonts w:ascii="標楷體" w:eastAsia="標楷體" w:hAnsi="標楷體" w:hint="eastAsia"/>
              </w:rPr>
              <w:t>將之納為</w:t>
            </w:r>
            <w:r>
              <w:rPr>
                <w:rFonts w:ascii="標楷體" w:eastAsia="標楷體" w:hAnsi="標楷體" w:hint="eastAsia"/>
              </w:rPr>
              <w:t>本</w:t>
            </w:r>
            <w:r w:rsidRPr="001831F7">
              <w:rPr>
                <w:rFonts w:ascii="標楷體" w:eastAsia="標楷體" w:hAnsi="標楷體" w:hint="eastAsia"/>
              </w:rPr>
              <w:t>法專編，以「沒收特別程序」名之</w:t>
            </w:r>
            <w:r w:rsidR="00DC5E2B" w:rsidRPr="001831F7">
              <w:rPr>
                <w:rFonts w:ascii="標楷體" w:eastAsia="標楷體" w:hAnsi="標楷體" w:hint="eastAsia"/>
              </w:rPr>
              <w:t>。</w:t>
            </w:r>
          </w:p>
        </w:tc>
      </w:tr>
      <w:tr w:rsidR="00C64AA6" w:rsidRPr="003873F6" w:rsidTr="00111886">
        <w:trPr>
          <w:trHeight w:val="1"/>
        </w:trPr>
        <w:tc>
          <w:tcPr>
            <w:tcW w:w="1775" w:type="pct"/>
            <w:tcMar>
              <w:left w:w="0" w:type="dxa"/>
              <w:right w:w="0" w:type="dxa"/>
            </w:tcMar>
          </w:tcPr>
          <w:p w:rsidR="00C64AA6" w:rsidRPr="00B14D77" w:rsidRDefault="00C27B07" w:rsidP="00A3540D">
            <w:pPr>
              <w:snapToGrid w:val="0"/>
              <w:ind w:left="240" w:hanging="240"/>
              <w:jc w:val="both"/>
              <w:rPr>
                <w:rFonts w:ascii="標楷體" w:eastAsia="標楷體" w:hAnsi="標楷體" w:cs="標楷體"/>
              </w:rPr>
            </w:pPr>
            <w:r>
              <w:rPr>
                <w:rFonts w:ascii="標楷體" w:eastAsia="標楷體" w:hAnsi="標楷體" w:cs="標楷體" w:hint="eastAsia"/>
              </w:rPr>
              <w:lastRenderedPageBreak/>
              <w:t>第四百五十五條之十二</w:t>
            </w:r>
            <w:r w:rsidR="00C64AA6" w:rsidRPr="00B14D77">
              <w:rPr>
                <w:rFonts w:ascii="標楷體" w:eastAsia="標楷體" w:hAnsi="標楷體" w:cs="標楷體"/>
              </w:rPr>
              <w:t xml:space="preserve">  </w:t>
            </w:r>
            <w:r w:rsidR="00C64AA6" w:rsidRPr="00B14D77">
              <w:rPr>
                <w:rFonts w:ascii="標楷體" w:eastAsia="標楷體" w:hAnsi="標楷體" w:cs="標楷體" w:hint="eastAsia"/>
              </w:rPr>
              <w:t>財產可能被沒收之第三人得於本案最後事實審言詞辯論終結前，向該管法院聲請參與沒收程序。</w:t>
            </w:r>
          </w:p>
          <w:p w:rsidR="00C64AA6" w:rsidRPr="00B14D77" w:rsidRDefault="00C64AA6" w:rsidP="00A3540D">
            <w:pPr>
              <w:snapToGrid w:val="0"/>
              <w:ind w:leftChars="100" w:left="240" w:firstLineChars="200" w:firstLine="480"/>
              <w:jc w:val="both"/>
              <w:rPr>
                <w:rFonts w:ascii="標楷體" w:eastAsia="標楷體" w:hAnsi="標楷體" w:cs="標楷體"/>
              </w:rPr>
            </w:pPr>
            <w:r w:rsidRPr="00B14D77">
              <w:rPr>
                <w:rFonts w:ascii="標楷體" w:eastAsia="標楷體" w:hAnsi="標楷體" w:cs="標楷體" w:hint="eastAsia"/>
              </w:rPr>
              <w:t>前項聲請，應以書狀記載下列事項為之：</w:t>
            </w:r>
          </w:p>
          <w:p w:rsidR="00C64AA6" w:rsidRPr="00B14D77" w:rsidRDefault="00C64AA6" w:rsidP="00A3540D">
            <w:pPr>
              <w:snapToGrid w:val="0"/>
              <w:ind w:leftChars="100" w:left="720" w:hangingChars="200" w:hanging="480"/>
              <w:jc w:val="both"/>
              <w:rPr>
                <w:rFonts w:ascii="標楷體" w:eastAsia="標楷體" w:hAnsi="標楷體" w:cs="標楷體"/>
              </w:rPr>
            </w:pPr>
            <w:r w:rsidRPr="00B14D77">
              <w:rPr>
                <w:rFonts w:ascii="標楷體" w:eastAsia="標楷體" w:hAnsi="標楷體" w:cs="標楷體" w:hint="eastAsia"/>
              </w:rPr>
              <w:t>一、本案案由及被告之姓名、性別、出生年月日、身分證明文件編號或其他足資辨別之特徵。</w:t>
            </w:r>
          </w:p>
          <w:p w:rsidR="00C64AA6" w:rsidRPr="00B14D77" w:rsidRDefault="00C64AA6" w:rsidP="00A3540D">
            <w:pPr>
              <w:snapToGrid w:val="0"/>
              <w:ind w:leftChars="100" w:left="720" w:hangingChars="200" w:hanging="480"/>
              <w:jc w:val="both"/>
              <w:rPr>
                <w:rFonts w:ascii="標楷體" w:eastAsia="標楷體" w:hAnsi="標楷體" w:cs="標楷體"/>
              </w:rPr>
            </w:pPr>
            <w:r w:rsidRPr="00B14D77">
              <w:rPr>
                <w:rFonts w:ascii="標楷體" w:eastAsia="標楷體" w:hAnsi="標楷體" w:cs="標楷體" w:hint="eastAsia"/>
              </w:rPr>
              <w:t>二、參與沒收程序之理由。</w:t>
            </w:r>
          </w:p>
          <w:p w:rsidR="00C64AA6" w:rsidRPr="00B14D77" w:rsidRDefault="00C64AA6" w:rsidP="00A3540D">
            <w:pPr>
              <w:snapToGrid w:val="0"/>
              <w:ind w:leftChars="100" w:left="720" w:hangingChars="200" w:hanging="480"/>
              <w:jc w:val="both"/>
              <w:rPr>
                <w:rFonts w:ascii="標楷體" w:eastAsia="標楷體" w:hAnsi="標楷體" w:cs="標楷體"/>
              </w:rPr>
            </w:pPr>
            <w:r w:rsidRPr="00B14D77">
              <w:rPr>
                <w:rFonts w:ascii="標楷體" w:eastAsia="標楷體" w:hAnsi="標楷體" w:cs="標楷體" w:hint="eastAsia"/>
              </w:rPr>
              <w:t>三、表明參與沒收程序之意旨。</w:t>
            </w:r>
          </w:p>
          <w:p w:rsidR="00C64AA6" w:rsidRPr="00B14D77" w:rsidRDefault="00C64AA6" w:rsidP="00A3540D">
            <w:pPr>
              <w:snapToGrid w:val="0"/>
              <w:ind w:leftChars="100" w:left="240" w:firstLineChars="200" w:firstLine="480"/>
              <w:jc w:val="both"/>
              <w:rPr>
                <w:rFonts w:ascii="標楷體" w:eastAsia="標楷體" w:hAnsi="標楷體" w:cs="標楷體"/>
              </w:rPr>
            </w:pPr>
            <w:r w:rsidRPr="00B14D77">
              <w:rPr>
                <w:rFonts w:ascii="標楷體" w:eastAsia="標楷體" w:hAnsi="標楷體" w:cs="標楷體" w:hint="eastAsia"/>
              </w:rPr>
              <w:t>第三人未為第一項聲請，法院認有必要時，應依職權裁定命該第三人參與沒收程序。但該第三人向法院或檢察官陳明對沒收其財產不提出異議者，不在此限。</w:t>
            </w:r>
          </w:p>
          <w:p w:rsidR="00C64AA6" w:rsidRPr="00B14D77" w:rsidRDefault="00C64AA6" w:rsidP="00A3540D">
            <w:pPr>
              <w:snapToGrid w:val="0"/>
              <w:ind w:leftChars="100" w:left="240" w:firstLineChars="200" w:firstLine="480"/>
              <w:jc w:val="both"/>
              <w:rPr>
                <w:rFonts w:ascii="標楷體" w:eastAsia="標楷體" w:hAnsi="標楷體" w:cs="標楷體"/>
                <w:kern w:val="0"/>
              </w:rPr>
            </w:pPr>
            <w:r w:rsidRPr="00B14D77">
              <w:rPr>
                <w:rFonts w:ascii="標楷體" w:eastAsia="標楷體" w:hAnsi="標楷體" w:cs="標楷體" w:hint="eastAsia"/>
              </w:rPr>
              <w:t>前三項規定，於自訴程序、簡易程序及協商程序之案件準用之。</w:t>
            </w:r>
          </w:p>
        </w:tc>
        <w:tc>
          <w:tcPr>
            <w:tcW w:w="1610" w:type="pct"/>
            <w:tcMar>
              <w:left w:w="0" w:type="dxa"/>
              <w:right w:w="0" w:type="dxa"/>
            </w:tcMar>
          </w:tcPr>
          <w:p w:rsidR="00C64AA6" w:rsidRPr="00B14D77" w:rsidRDefault="00C64AA6" w:rsidP="00A3540D">
            <w:pPr>
              <w:snapToGrid w:val="0"/>
              <w:ind w:left="240" w:hanging="240"/>
              <w:jc w:val="both"/>
              <w:rPr>
                <w:rFonts w:ascii="標楷體" w:eastAsia="標楷體" w:hAnsi="標楷體"/>
              </w:rPr>
            </w:pPr>
          </w:p>
        </w:tc>
        <w:tc>
          <w:tcPr>
            <w:tcW w:w="1615" w:type="pct"/>
          </w:tcPr>
          <w:p w:rsidR="00C64AA6" w:rsidRDefault="00C27B07" w:rsidP="001C70FF">
            <w:pPr>
              <w:pStyle w:val="a7"/>
              <w:numPr>
                <w:ilvl w:val="0"/>
                <w:numId w:val="5"/>
              </w:numPr>
              <w:ind w:leftChars="0"/>
              <w:jc w:val="both"/>
              <w:rPr>
                <w:rFonts w:ascii="標楷體" w:eastAsia="標楷體" w:hAnsi="標楷體"/>
                <w:szCs w:val="24"/>
                <w:u w:val="single"/>
              </w:rPr>
            </w:pPr>
            <w:r>
              <w:rPr>
                <w:rFonts w:ascii="標楷體" w:eastAsia="標楷體" w:hAnsi="標楷體" w:hint="eastAsia"/>
                <w:szCs w:val="24"/>
                <w:u w:val="single"/>
              </w:rPr>
              <w:t>本條</w:t>
            </w:r>
            <w:r w:rsidR="00C64AA6" w:rsidRPr="00B14D77">
              <w:rPr>
                <w:rFonts w:ascii="標楷體" w:eastAsia="標楷體" w:hAnsi="標楷體" w:hint="eastAsia"/>
                <w:szCs w:val="24"/>
                <w:u w:val="single"/>
              </w:rPr>
              <w:t>新增。</w:t>
            </w:r>
          </w:p>
          <w:p w:rsidR="00C27B07" w:rsidRPr="005353BE" w:rsidRDefault="00C27B07" w:rsidP="001C70FF">
            <w:pPr>
              <w:pStyle w:val="a7"/>
              <w:numPr>
                <w:ilvl w:val="0"/>
                <w:numId w:val="5"/>
              </w:numPr>
              <w:ind w:leftChars="0"/>
              <w:jc w:val="both"/>
              <w:rPr>
                <w:rFonts w:ascii="標楷體" w:eastAsia="標楷體" w:hAnsi="標楷體"/>
                <w:szCs w:val="24"/>
                <w:u w:val="single"/>
              </w:rPr>
            </w:pPr>
            <w:r w:rsidRPr="00C27B07">
              <w:rPr>
                <w:rFonts w:ascii="標楷體" w:eastAsia="標楷體" w:hAnsi="標楷體" w:hint="eastAsia"/>
                <w:szCs w:val="24"/>
              </w:rPr>
              <w:t>為賦予因刑事訴訟程序進行結果，財產</w:t>
            </w:r>
            <w:r w:rsidRPr="00C27B07">
              <w:rPr>
                <w:rFonts w:ascii="標楷體" w:eastAsia="標楷體" w:hAnsi="標楷體" w:hint="eastAsia"/>
                <w:kern w:val="0"/>
                <w:szCs w:val="24"/>
              </w:rPr>
              <w:t>可能被沒收之第三人程序主體之地位，俾其有參與程序之權利與尋求救濟之機會，以保障其權益</w:t>
            </w:r>
            <w:r w:rsidR="00F47B03">
              <w:rPr>
                <w:rFonts w:ascii="標楷體" w:eastAsia="標楷體" w:hAnsi="標楷體" w:hint="eastAsia"/>
                <w:kern w:val="0"/>
                <w:szCs w:val="24"/>
              </w:rPr>
              <w:t>。</w:t>
            </w:r>
            <w:r w:rsidRPr="00C27B07">
              <w:rPr>
                <w:rFonts w:ascii="標楷體" w:eastAsia="標楷體" w:hAnsi="標楷體" w:hint="eastAsia"/>
                <w:szCs w:val="24"/>
              </w:rPr>
              <w:t>爰參考</w:t>
            </w:r>
            <w:r w:rsidRPr="00C27B07">
              <w:rPr>
                <w:rFonts w:ascii="標楷體" w:eastAsia="標楷體" w:hAnsi="標楷體" w:hint="eastAsia"/>
              </w:rPr>
              <w:t>德國刑事訴訟法第四百三十二條第二項、</w:t>
            </w:r>
            <w:r w:rsidRPr="00C27B07">
              <w:rPr>
                <w:rFonts w:ascii="標楷體" w:eastAsia="標楷體" w:hAnsi="標楷體" w:hint="eastAsia"/>
                <w:szCs w:val="24"/>
              </w:rPr>
              <w:t>日本應急對策法第三條第一項之立法例，於本條第一、二項明定該第三人得聲請參與本案沒收程序及其聲請之程式。又為兼顧該第三人參與訴訟之程序保障與被告本案訴訟</w:t>
            </w:r>
            <w:r w:rsidR="00F47B03">
              <w:rPr>
                <w:rFonts w:ascii="標楷體" w:eastAsia="標楷體" w:hAnsi="標楷體" w:hint="eastAsia"/>
                <w:szCs w:val="24"/>
              </w:rPr>
              <w:t>之</w:t>
            </w:r>
            <w:r w:rsidRPr="00C27B07">
              <w:rPr>
                <w:rFonts w:ascii="標楷體" w:eastAsia="標楷體" w:hAnsi="標楷體" w:hint="eastAsia"/>
                <w:szCs w:val="24"/>
              </w:rPr>
              <w:t>進行順暢</w:t>
            </w:r>
            <w:r w:rsidRPr="00C27B07">
              <w:rPr>
                <w:rFonts w:ascii="標楷體" w:eastAsia="標楷體" w:hAnsi="標楷體" w:hint="eastAsia"/>
                <w:kern w:val="0"/>
                <w:szCs w:val="24"/>
              </w:rPr>
              <w:t>，參考德國刑事訴訟法第四百三十一條第四項立法例，課予</w:t>
            </w:r>
            <w:r w:rsidR="00F47B03">
              <w:rPr>
                <w:rFonts w:ascii="標楷體" w:eastAsia="標楷體" w:hAnsi="標楷體" w:hint="eastAsia"/>
                <w:kern w:val="0"/>
                <w:szCs w:val="24"/>
              </w:rPr>
              <w:t>第三人</w:t>
            </w:r>
            <w:r w:rsidRPr="00C27B07">
              <w:rPr>
                <w:rFonts w:ascii="標楷體" w:eastAsia="標楷體" w:hAnsi="標楷體" w:hint="eastAsia"/>
                <w:kern w:val="0"/>
                <w:szCs w:val="24"/>
              </w:rPr>
              <w:t>參與程序一定之期限，明定</w:t>
            </w:r>
            <w:r w:rsidRPr="00C27B07">
              <w:rPr>
                <w:rFonts w:ascii="標楷體" w:eastAsia="標楷體" w:hAnsi="標楷體" w:hint="eastAsia"/>
                <w:szCs w:val="24"/>
              </w:rPr>
              <w:t>須於最後事實審言詞辯論終結前為之。</w:t>
            </w:r>
          </w:p>
          <w:p w:rsidR="00C27B07" w:rsidRPr="005353BE" w:rsidRDefault="00C27B07" w:rsidP="001C70FF">
            <w:pPr>
              <w:pStyle w:val="a7"/>
              <w:numPr>
                <w:ilvl w:val="0"/>
                <w:numId w:val="5"/>
              </w:numPr>
              <w:ind w:leftChars="0"/>
              <w:jc w:val="both"/>
              <w:rPr>
                <w:rFonts w:ascii="標楷體" w:eastAsia="標楷體" w:hAnsi="標楷體"/>
                <w:szCs w:val="24"/>
                <w:u w:val="single"/>
              </w:rPr>
            </w:pPr>
            <w:r w:rsidRPr="005353BE">
              <w:rPr>
                <w:rFonts w:ascii="標楷體" w:eastAsia="標楷體" w:hAnsi="標楷體" w:hint="eastAsia"/>
                <w:szCs w:val="24"/>
              </w:rPr>
              <w:lastRenderedPageBreak/>
              <w:t>依卷證顯示本案沒收可能涉及第三人財產，而該第三人未聲請參與沒收程序時，基於刑事沒收屬法院應依職權調查事項之考量，法院自應依職權裁定命該第三人參與。但第三人已陳明對沒收不異議者，法院</w:t>
            </w:r>
            <w:r w:rsidR="003D0FA9">
              <w:rPr>
                <w:rFonts w:ascii="標楷體" w:eastAsia="標楷體" w:hAnsi="標楷體" w:hint="eastAsia"/>
                <w:szCs w:val="24"/>
              </w:rPr>
              <w:t>自</w:t>
            </w:r>
            <w:r w:rsidRPr="005353BE">
              <w:rPr>
                <w:rFonts w:ascii="標楷體" w:eastAsia="標楷體" w:hAnsi="標楷體" w:hint="eastAsia"/>
                <w:szCs w:val="24"/>
              </w:rPr>
              <w:t>無命該第三人參與沒收程序之必要</w:t>
            </w:r>
            <w:r w:rsidR="003D0FA9">
              <w:rPr>
                <w:rFonts w:ascii="標楷體" w:eastAsia="標楷體" w:hAnsi="標楷體" w:hint="eastAsia"/>
                <w:szCs w:val="24"/>
              </w:rPr>
              <w:t>。</w:t>
            </w:r>
            <w:r w:rsidRPr="005353BE">
              <w:rPr>
                <w:rFonts w:ascii="標楷體" w:eastAsia="標楷體" w:hAnsi="標楷體" w:hint="eastAsia"/>
                <w:szCs w:val="24"/>
              </w:rPr>
              <w:t>爰參考德國刑事訴訟法第四百三十一條第六項之立法例，增訂本條第三項。</w:t>
            </w:r>
          </w:p>
          <w:p w:rsidR="00C64AA6" w:rsidRPr="005353BE" w:rsidRDefault="00C27B07" w:rsidP="001C70FF">
            <w:pPr>
              <w:pStyle w:val="a7"/>
              <w:numPr>
                <w:ilvl w:val="0"/>
                <w:numId w:val="5"/>
              </w:numPr>
              <w:ind w:leftChars="0"/>
              <w:jc w:val="both"/>
              <w:rPr>
                <w:rFonts w:ascii="標楷體" w:eastAsia="標楷體" w:hAnsi="標楷體"/>
                <w:szCs w:val="24"/>
                <w:u w:val="single"/>
              </w:rPr>
            </w:pPr>
            <w:r w:rsidRPr="005353BE">
              <w:rPr>
                <w:rFonts w:ascii="標楷體" w:eastAsia="標楷體" w:hAnsi="標楷體" w:hint="eastAsia"/>
              </w:rPr>
              <w:t>自訴、簡易及協商程序案件之沒收，若</w:t>
            </w:r>
            <w:r w:rsidRPr="005353BE">
              <w:rPr>
                <w:rFonts w:ascii="標楷體" w:eastAsia="標楷體" w:hAnsi="標楷體" w:hint="eastAsia"/>
                <w:szCs w:val="24"/>
              </w:rPr>
              <w:t>涉及第三人財產，亦有準用第三人參與沒收程序相關規範之必要，爰增訂本條第四項。</w:t>
            </w:r>
          </w:p>
        </w:tc>
      </w:tr>
      <w:tr w:rsidR="00C64AA6" w:rsidRPr="003873F6" w:rsidTr="00111886">
        <w:trPr>
          <w:trHeight w:val="1"/>
        </w:trPr>
        <w:tc>
          <w:tcPr>
            <w:tcW w:w="1775" w:type="pct"/>
            <w:tcMar>
              <w:left w:w="0" w:type="dxa"/>
              <w:right w:w="0" w:type="dxa"/>
            </w:tcMar>
          </w:tcPr>
          <w:p w:rsidR="00C64AA6" w:rsidRPr="00B14D77" w:rsidRDefault="0059160A" w:rsidP="00A3540D">
            <w:pPr>
              <w:snapToGrid w:val="0"/>
              <w:ind w:left="240" w:hanging="240"/>
              <w:jc w:val="both"/>
              <w:rPr>
                <w:rFonts w:ascii="標楷體" w:eastAsia="標楷體" w:hAnsi="標楷體" w:cs="標楷體"/>
              </w:rPr>
            </w:pPr>
            <w:r>
              <w:rPr>
                <w:rFonts w:ascii="標楷體" w:eastAsia="標楷體" w:hAnsi="標楷體" w:cs="標楷體" w:hint="eastAsia"/>
              </w:rPr>
              <w:lastRenderedPageBreak/>
              <w:t>第四百五十五條之十三</w:t>
            </w:r>
            <w:r w:rsidR="00C64AA6" w:rsidRPr="00B14D77">
              <w:rPr>
                <w:rFonts w:ascii="標楷體" w:eastAsia="標楷體" w:hAnsi="標楷體" w:cs="標楷體"/>
              </w:rPr>
              <w:t xml:space="preserve">  </w:t>
            </w:r>
            <w:r w:rsidR="00C64AA6" w:rsidRPr="00B14D77">
              <w:rPr>
                <w:rFonts w:ascii="標楷體" w:eastAsia="標楷體" w:hAnsi="標楷體" w:cs="標楷體" w:hint="eastAsia"/>
              </w:rPr>
              <w:t>檢察官有相當理由認應沒收第三人財產者，於提起公訴前應通知該第三人，予其陳述意見之機會。</w:t>
            </w:r>
          </w:p>
          <w:p w:rsidR="00C64AA6" w:rsidRPr="00B14D77" w:rsidRDefault="00C64AA6" w:rsidP="00A3540D">
            <w:pPr>
              <w:snapToGrid w:val="0"/>
              <w:ind w:leftChars="100" w:left="240" w:firstLineChars="200" w:firstLine="480"/>
              <w:jc w:val="both"/>
              <w:rPr>
                <w:rFonts w:ascii="標楷體" w:eastAsia="標楷體" w:hAnsi="標楷體" w:cs="標楷體"/>
              </w:rPr>
            </w:pPr>
            <w:r w:rsidRPr="00B14D77">
              <w:rPr>
                <w:rFonts w:ascii="標楷體" w:eastAsia="標楷體" w:hAnsi="標楷體" w:cs="標楷體" w:hint="eastAsia"/>
              </w:rPr>
              <w:t>檢察官提起公訴時一併聲請沒收第三人財產者，應於起訴書記載該意旨，並即通知該第三人下列事項：</w:t>
            </w:r>
          </w:p>
          <w:p w:rsidR="00C64AA6" w:rsidRPr="00B14D77" w:rsidRDefault="00C64AA6" w:rsidP="00A3540D">
            <w:pPr>
              <w:snapToGrid w:val="0"/>
              <w:ind w:leftChars="100" w:left="720" w:hangingChars="200" w:hanging="480"/>
              <w:jc w:val="both"/>
              <w:rPr>
                <w:rFonts w:ascii="標楷體" w:eastAsia="標楷體" w:hAnsi="標楷體" w:cs="標楷體"/>
              </w:rPr>
            </w:pPr>
            <w:r w:rsidRPr="00B14D77">
              <w:rPr>
                <w:rFonts w:ascii="標楷體" w:eastAsia="標楷體" w:hAnsi="標楷體" w:cs="標楷體" w:hint="eastAsia"/>
              </w:rPr>
              <w:t>一、本案案由及其管轄法院。</w:t>
            </w:r>
          </w:p>
          <w:p w:rsidR="00C64AA6" w:rsidRPr="00B14D77" w:rsidRDefault="00C64AA6" w:rsidP="00A3540D">
            <w:pPr>
              <w:snapToGrid w:val="0"/>
              <w:ind w:leftChars="100" w:left="720" w:hangingChars="200" w:hanging="480"/>
              <w:jc w:val="both"/>
              <w:rPr>
                <w:rFonts w:ascii="標楷體" w:eastAsia="標楷體" w:hAnsi="標楷體" w:cs="標楷體"/>
              </w:rPr>
            </w:pPr>
            <w:r w:rsidRPr="00B14D77">
              <w:rPr>
                <w:rFonts w:ascii="標楷體" w:eastAsia="標楷體" w:hAnsi="標楷體" w:cs="標楷體" w:hint="eastAsia"/>
              </w:rPr>
              <w:t>二、被告之姓名、性別、出生年月日、身分證明文件編號或其他足資辨別之特徵。</w:t>
            </w:r>
          </w:p>
          <w:p w:rsidR="00C64AA6" w:rsidRPr="00B14D77" w:rsidRDefault="00C64AA6" w:rsidP="00A3540D">
            <w:pPr>
              <w:snapToGrid w:val="0"/>
              <w:ind w:leftChars="100" w:left="720" w:hangingChars="200" w:hanging="480"/>
              <w:jc w:val="both"/>
              <w:rPr>
                <w:rFonts w:ascii="標楷體" w:eastAsia="標楷體" w:hAnsi="標楷體" w:cs="標楷體"/>
              </w:rPr>
            </w:pPr>
            <w:r w:rsidRPr="00B14D77">
              <w:rPr>
                <w:rFonts w:ascii="標楷體" w:eastAsia="標楷體" w:hAnsi="標楷體" w:cs="標楷體" w:hint="eastAsia"/>
              </w:rPr>
              <w:t>三、應沒收財產之名稱、種類、數量及其他足以特定之事項。</w:t>
            </w:r>
          </w:p>
          <w:p w:rsidR="00C64AA6" w:rsidRPr="00B14D77" w:rsidRDefault="00C64AA6" w:rsidP="00A3540D">
            <w:pPr>
              <w:snapToGrid w:val="0"/>
              <w:ind w:leftChars="100" w:left="720" w:hangingChars="200" w:hanging="480"/>
              <w:jc w:val="both"/>
              <w:rPr>
                <w:rFonts w:ascii="標楷體" w:eastAsia="標楷體" w:hAnsi="標楷體" w:cs="標楷體"/>
              </w:rPr>
            </w:pPr>
            <w:r w:rsidRPr="00B14D77">
              <w:rPr>
                <w:rFonts w:ascii="標楷體" w:eastAsia="標楷體" w:hAnsi="標楷體" w:cs="標楷體" w:hint="eastAsia"/>
              </w:rPr>
              <w:t>四、構成沒收理由之事實要旨及其證據。</w:t>
            </w:r>
          </w:p>
          <w:p w:rsidR="00C64AA6" w:rsidRPr="00B14D77" w:rsidRDefault="00C64AA6" w:rsidP="00A3540D">
            <w:pPr>
              <w:snapToGrid w:val="0"/>
              <w:ind w:leftChars="100" w:left="720" w:hangingChars="200" w:hanging="480"/>
              <w:jc w:val="both"/>
              <w:rPr>
                <w:rFonts w:ascii="標楷體" w:eastAsia="標楷體" w:hAnsi="標楷體" w:cs="標楷體"/>
                <w:kern w:val="0"/>
              </w:rPr>
            </w:pPr>
            <w:r w:rsidRPr="00B14D77">
              <w:rPr>
                <w:rFonts w:ascii="標楷體" w:eastAsia="標楷體" w:hAnsi="標楷體" w:cs="標楷體" w:hint="eastAsia"/>
              </w:rPr>
              <w:t>五、得向管轄法院聲請參與沒收程序之意旨。</w:t>
            </w:r>
          </w:p>
        </w:tc>
        <w:tc>
          <w:tcPr>
            <w:tcW w:w="1610" w:type="pct"/>
            <w:tcMar>
              <w:left w:w="0" w:type="dxa"/>
              <w:right w:w="0" w:type="dxa"/>
            </w:tcMar>
          </w:tcPr>
          <w:p w:rsidR="00C64AA6" w:rsidRPr="00B14D77" w:rsidRDefault="00C64AA6" w:rsidP="00A3540D">
            <w:pPr>
              <w:snapToGrid w:val="0"/>
              <w:ind w:left="240" w:hanging="240"/>
              <w:jc w:val="both"/>
              <w:rPr>
                <w:rFonts w:ascii="標楷體" w:eastAsia="標楷體" w:hAnsi="標楷體"/>
              </w:rPr>
            </w:pPr>
          </w:p>
        </w:tc>
        <w:tc>
          <w:tcPr>
            <w:tcW w:w="1615" w:type="pct"/>
          </w:tcPr>
          <w:p w:rsidR="00C64AA6" w:rsidRDefault="0059160A" w:rsidP="001C70FF">
            <w:pPr>
              <w:pStyle w:val="a7"/>
              <w:numPr>
                <w:ilvl w:val="0"/>
                <w:numId w:val="6"/>
              </w:numPr>
              <w:ind w:leftChars="0"/>
              <w:jc w:val="both"/>
              <w:rPr>
                <w:rFonts w:ascii="標楷體" w:eastAsia="標楷體" w:hAnsi="標楷體"/>
                <w:szCs w:val="24"/>
                <w:u w:val="single"/>
              </w:rPr>
            </w:pPr>
            <w:r>
              <w:rPr>
                <w:rFonts w:ascii="標楷體" w:eastAsia="標楷體" w:hAnsi="標楷體" w:hint="eastAsia"/>
                <w:szCs w:val="24"/>
                <w:u w:val="single"/>
              </w:rPr>
              <w:t>本條</w:t>
            </w:r>
            <w:r w:rsidR="00C64AA6" w:rsidRPr="00B14D77">
              <w:rPr>
                <w:rFonts w:ascii="標楷體" w:eastAsia="標楷體" w:hAnsi="標楷體" w:hint="eastAsia"/>
                <w:szCs w:val="24"/>
                <w:u w:val="single"/>
              </w:rPr>
              <w:t>新增。</w:t>
            </w:r>
          </w:p>
          <w:p w:rsidR="00C64AA6" w:rsidRPr="0059160A" w:rsidRDefault="0059160A" w:rsidP="001C70FF">
            <w:pPr>
              <w:pStyle w:val="a7"/>
              <w:numPr>
                <w:ilvl w:val="0"/>
                <w:numId w:val="6"/>
              </w:numPr>
              <w:ind w:leftChars="0"/>
              <w:jc w:val="both"/>
              <w:rPr>
                <w:rFonts w:ascii="標楷體" w:eastAsia="標楷體" w:hAnsi="標楷體"/>
                <w:szCs w:val="24"/>
                <w:u w:val="single"/>
              </w:rPr>
            </w:pPr>
            <w:r w:rsidRPr="0059160A">
              <w:rPr>
                <w:rFonts w:ascii="標楷體" w:eastAsia="標楷體" w:hAnsi="標楷體" w:hint="eastAsia"/>
                <w:szCs w:val="24"/>
              </w:rPr>
              <w:t>因國家行為衍生之程序，應使</w:t>
            </w:r>
            <w:r w:rsidR="003D0FA9">
              <w:rPr>
                <w:rFonts w:ascii="標楷體" w:eastAsia="標楷體" w:hAnsi="標楷體" w:hint="eastAsia"/>
                <w:szCs w:val="24"/>
              </w:rPr>
              <w:t>該</w:t>
            </w:r>
            <w:r w:rsidRPr="0059160A">
              <w:rPr>
                <w:rFonts w:ascii="標楷體" w:eastAsia="標楷體" w:hAnsi="標楷體" w:hint="eastAsia"/>
                <w:szCs w:val="24"/>
              </w:rPr>
              <w:t>行為</w:t>
            </w:r>
            <w:r w:rsidR="003D0FA9">
              <w:rPr>
                <w:rFonts w:ascii="標楷體" w:eastAsia="標楷體" w:hAnsi="標楷體" w:hint="eastAsia"/>
                <w:szCs w:val="24"/>
              </w:rPr>
              <w:t>之</w:t>
            </w:r>
            <w:r w:rsidRPr="0059160A">
              <w:rPr>
                <w:rFonts w:ascii="標楷體" w:eastAsia="標楷體" w:hAnsi="標楷體" w:hint="eastAsia"/>
                <w:szCs w:val="24"/>
              </w:rPr>
              <w:t>相對人知悉行為內容，俾充分陳述意見，盡</w:t>
            </w:r>
            <w:r w:rsidR="003D0FA9">
              <w:rPr>
                <w:rFonts w:ascii="標楷體" w:eastAsia="標楷體" w:hAnsi="標楷體" w:hint="eastAsia"/>
                <w:szCs w:val="24"/>
              </w:rPr>
              <w:t>其</w:t>
            </w:r>
            <w:r w:rsidRPr="0059160A">
              <w:rPr>
                <w:rFonts w:ascii="標楷體" w:eastAsia="標楷體" w:hAnsi="標楷體" w:hint="eastAsia"/>
                <w:szCs w:val="24"/>
              </w:rPr>
              <w:t>攻防之能事。尤以國家為追訴主體之刑事訴訟程序，人民處於</w:t>
            </w:r>
            <w:r w:rsidR="003D0FA9">
              <w:rPr>
                <w:rFonts w:ascii="標楷體" w:eastAsia="標楷體" w:hAnsi="標楷體" w:hint="eastAsia"/>
                <w:szCs w:val="24"/>
              </w:rPr>
              <w:t>相對弱</w:t>
            </w:r>
            <w:r w:rsidRPr="0059160A">
              <w:rPr>
                <w:rFonts w:ascii="標楷體" w:eastAsia="標楷體" w:hAnsi="標楷體" w:hint="eastAsia"/>
                <w:szCs w:val="24"/>
              </w:rPr>
              <w:t>勢，保障</w:t>
            </w:r>
            <w:r w:rsidR="003D0FA9">
              <w:rPr>
                <w:rFonts w:ascii="標楷體" w:eastAsia="標楷體" w:hAnsi="標楷體" w:hint="eastAsia"/>
                <w:szCs w:val="24"/>
              </w:rPr>
              <w:t>其</w:t>
            </w:r>
            <w:r w:rsidRPr="0059160A">
              <w:rPr>
                <w:rFonts w:ascii="標楷體" w:eastAsia="標楷體" w:hAnsi="標楷體" w:hint="eastAsia"/>
                <w:szCs w:val="24"/>
              </w:rPr>
              <w:t>受通知權，為正當法律程序之體現。</w:t>
            </w:r>
            <w:r w:rsidRPr="0059160A">
              <w:rPr>
                <w:rFonts w:ascii="標楷體" w:eastAsia="標楷體" w:hAnsi="標楷體" w:hint="eastAsia"/>
              </w:rPr>
              <w:t>爰</w:t>
            </w:r>
            <w:r w:rsidRPr="0059160A">
              <w:rPr>
                <w:rFonts w:ascii="標楷體" w:eastAsia="標楷體" w:hAnsi="標楷體" w:hint="eastAsia"/>
                <w:szCs w:val="24"/>
              </w:rPr>
              <w:t>參考德國刑事訴訟法第四百三十二條第一項、日本應急對策法第二條第一項之立法例，增訂本條第一、二項，明定偵查中</w:t>
            </w:r>
            <w:r w:rsidR="003D0FA9">
              <w:rPr>
                <w:rFonts w:ascii="標楷體" w:eastAsia="標楷體" w:hAnsi="標楷體" w:hint="eastAsia"/>
                <w:szCs w:val="24"/>
              </w:rPr>
              <w:t>或</w:t>
            </w:r>
            <w:r w:rsidRPr="0059160A">
              <w:rPr>
                <w:rFonts w:ascii="標楷體" w:eastAsia="標楷體" w:hAnsi="標楷體" w:hint="eastAsia"/>
                <w:szCs w:val="24"/>
              </w:rPr>
              <w:t>起訴時，對</w:t>
            </w:r>
            <w:r w:rsidR="003D0FA9">
              <w:rPr>
                <w:rFonts w:ascii="標楷體" w:eastAsia="標楷體" w:hAnsi="標楷體" w:hint="eastAsia"/>
                <w:szCs w:val="24"/>
              </w:rPr>
              <w:t>於</w:t>
            </w:r>
            <w:r w:rsidRPr="0059160A">
              <w:rPr>
                <w:rFonts w:ascii="標楷體" w:eastAsia="標楷體" w:hAnsi="標楷體" w:hint="eastAsia"/>
                <w:szCs w:val="24"/>
              </w:rPr>
              <w:t>案</w:t>
            </w:r>
            <w:r w:rsidR="003D0FA9">
              <w:rPr>
                <w:rFonts w:ascii="標楷體" w:eastAsia="標楷體" w:hAnsi="標楷體" w:hint="eastAsia"/>
                <w:szCs w:val="24"/>
              </w:rPr>
              <w:t>內</w:t>
            </w:r>
            <w:r w:rsidRPr="0059160A">
              <w:rPr>
                <w:rFonts w:ascii="標楷體" w:eastAsia="標楷體" w:hAnsi="標楷體" w:hint="eastAsia"/>
                <w:szCs w:val="24"/>
              </w:rPr>
              <w:t>可能被沒收財產之第三人</w:t>
            </w:r>
            <w:r w:rsidR="003D0FA9">
              <w:rPr>
                <w:rFonts w:ascii="標楷體" w:eastAsia="標楷體" w:hAnsi="標楷體" w:hint="eastAsia"/>
                <w:szCs w:val="24"/>
              </w:rPr>
              <w:t>，檢察官有</w:t>
            </w:r>
            <w:r w:rsidRPr="0059160A">
              <w:rPr>
                <w:rFonts w:ascii="標楷體" w:eastAsia="標楷體" w:hAnsi="標楷體" w:hint="eastAsia"/>
                <w:szCs w:val="24"/>
              </w:rPr>
              <w:t>通知</w:t>
            </w:r>
            <w:r w:rsidR="003D0FA9">
              <w:rPr>
                <w:rFonts w:ascii="標楷體" w:eastAsia="標楷體" w:hAnsi="標楷體" w:hint="eastAsia"/>
                <w:szCs w:val="24"/>
              </w:rPr>
              <w:t>之</w:t>
            </w:r>
            <w:r w:rsidRPr="0059160A">
              <w:rPr>
                <w:rFonts w:ascii="標楷體" w:eastAsia="標楷體" w:hAnsi="標楷體" w:hint="eastAsia"/>
                <w:szCs w:val="24"/>
              </w:rPr>
              <w:t>義務，</w:t>
            </w:r>
            <w:r w:rsidR="000C75D2">
              <w:rPr>
                <w:rFonts w:ascii="標楷體" w:eastAsia="標楷體" w:hAnsi="標楷體" w:hint="eastAsia"/>
                <w:szCs w:val="24"/>
              </w:rPr>
              <w:t>給</w:t>
            </w:r>
            <w:r w:rsidRPr="0059160A">
              <w:rPr>
                <w:rFonts w:ascii="標楷體" w:eastAsia="標楷體" w:hAnsi="標楷體" w:hint="eastAsia"/>
                <w:szCs w:val="24"/>
              </w:rPr>
              <w:t>予陳述意見之機</w:t>
            </w:r>
            <w:r w:rsidRPr="0059160A">
              <w:rPr>
                <w:rFonts w:ascii="標楷體" w:eastAsia="標楷體" w:hAnsi="標楷體" w:hint="eastAsia"/>
                <w:szCs w:val="24"/>
              </w:rPr>
              <w:lastRenderedPageBreak/>
              <w:t>會，</w:t>
            </w:r>
            <w:r w:rsidR="003D0FA9">
              <w:rPr>
                <w:rFonts w:ascii="標楷體" w:eastAsia="標楷體" w:hAnsi="標楷體" w:hint="eastAsia"/>
                <w:szCs w:val="24"/>
              </w:rPr>
              <w:t>或便</w:t>
            </w:r>
            <w:r w:rsidRPr="0059160A">
              <w:rPr>
                <w:rFonts w:ascii="標楷體" w:eastAsia="標楷體" w:hAnsi="標楷體" w:hint="eastAsia"/>
                <w:szCs w:val="24"/>
              </w:rPr>
              <w:t>利其向法院適時聲請參與沒收程序及為訴訟準備。</w:t>
            </w:r>
            <w:r w:rsidRPr="0059160A">
              <w:rPr>
                <w:rFonts w:ascii="標楷體" w:eastAsia="標楷體" w:hAnsi="標楷體" w:hint="eastAsia"/>
              </w:rPr>
              <w:t>至於第三人陳述意見之方式，得以言詞或書狀之方式為之，</w:t>
            </w:r>
            <w:r w:rsidR="003D0FA9">
              <w:rPr>
                <w:rFonts w:ascii="標楷體" w:eastAsia="標楷體" w:hAnsi="標楷體" w:hint="eastAsia"/>
              </w:rPr>
              <w:t>則</w:t>
            </w:r>
            <w:r w:rsidRPr="0059160A">
              <w:rPr>
                <w:rFonts w:ascii="標楷體" w:eastAsia="標楷體" w:hAnsi="標楷體" w:hint="eastAsia"/>
              </w:rPr>
              <w:t>不待言。</w:t>
            </w:r>
          </w:p>
        </w:tc>
      </w:tr>
      <w:tr w:rsidR="00C64AA6" w:rsidRPr="003873F6" w:rsidTr="00111886">
        <w:trPr>
          <w:trHeight w:val="1"/>
        </w:trPr>
        <w:tc>
          <w:tcPr>
            <w:tcW w:w="1775" w:type="pct"/>
            <w:tcMar>
              <w:left w:w="0" w:type="dxa"/>
              <w:right w:w="0" w:type="dxa"/>
            </w:tcMar>
          </w:tcPr>
          <w:p w:rsidR="00C64AA6" w:rsidRPr="00B14D77" w:rsidRDefault="00C64AA6" w:rsidP="00A3540D">
            <w:pPr>
              <w:snapToGrid w:val="0"/>
              <w:ind w:left="240" w:hanging="240"/>
              <w:jc w:val="both"/>
              <w:rPr>
                <w:rFonts w:ascii="標楷體" w:eastAsia="標楷體" w:hAnsi="標楷體" w:cs="標楷體"/>
                <w:kern w:val="0"/>
              </w:rPr>
            </w:pPr>
            <w:r w:rsidRPr="00B14D77">
              <w:rPr>
                <w:rFonts w:ascii="標楷體" w:eastAsia="標楷體" w:hAnsi="標楷體" w:cs="標楷體" w:hint="eastAsia"/>
              </w:rPr>
              <w:lastRenderedPageBreak/>
              <w:t>第四百五十五</w:t>
            </w:r>
            <w:r w:rsidR="006C3331">
              <w:rPr>
                <w:rFonts w:ascii="標楷體" w:eastAsia="標楷體" w:hAnsi="標楷體" w:cs="標楷體" w:hint="eastAsia"/>
                <w:kern w:val="0"/>
              </w:rPr>
              <w:t>條之十四</w:t>
            </w:r>
            <w:r w:rsidRPr="00B14D77">
              <w:rPr>
                <w:rFonts w:ascii="標楷體" w:eastAsia="標楷體" w:hAnsi="標楷體" w:cs="標楷體"/>
                <w:kern w:val="0"/>
              </w:rPr>
              <w:t xml:space="preserve">  </w:t>
            </w:r>
            <w:r w:rsidRPr="00B14D77">
              <w:rPr>
                <w:rFonts w:ascii="標楷體" w:eastAsia="標楷體" w:hAnsi="標楷體" w:cs="標楷體" w:hint="eastAsia"/>
              </w:rPr>
              <w:t>法院</w:t>
            </w:r>
            <w:r w:rsidRPr="00B14D77">
              <w:rPr>
                <w:rFonts w:ascii="標楷體" w:eastAsia="標楷體" w:hAnsi="標楷體" w:cs="標楷體" w:hint="eastAsia"/>
                <w:kern w:val="0"/>
              </w:rPr>
              <w:t>對於參與沒收程序之聲請，於裁定前應通知聲請人、本案當事人、代理人、辯護人或輔佐人，予其陳述意見之機會。</w:t>
            </w:r>
          </w:p>
        </w:tc>
        <w:tc>
          <w:tcPr>
            <w:tcW w:w="1610" w:type="pct"/>
            <w:tcMar>
              <w:left w:w="0" w:type="dxa"/>
              <w:right w:w="0" w:type="dxa"/>
            </w:tcMar>
          </w:tcPr>
          <w:p w:rsidR="00C64AA6" w:rsidRPr="00B14D77" w:rsidRDefault="00C64AA6" w:rsidP="00A3540D">
            <w:pPr>
              <w:snapToGrid w:val="0"/>
              <w:ind w:left="240" w:hanging="240"/>
              <w:jc w:val="both"/>
              <w:rPr>
                <w:rFonts w:ascii="標楷體" w:eastAsia="標楷體" w:hAnsi="標楷體"/>
              </w:rPr>
            </w:pPr>
          </w:p>
        </w:tc>
        <w:tc>
          <w:tcPr>
            <w:tcW w:w="1615" w:type="pct"/>
          </w:tcPr>
          <w:p w:rsidR="00C64AA6" w:rsidRDefault="00244D6E" w:rsidP="001C70FF">
            <w:pPr>
              <w:pStyle w:val="a7"/>
              <w:numPr>
                <w:ilvl w:val="0"/>
                <w:numId w:val="7"/>
              </w:numPr>
              <w:ind w:leftChars="0"/>
              <w:jc w:val="both"/>
              <w:rPr>
                <w:rFonts w:ascii="標楷體" w:eastAsia="標楷體" w:hAnsi="標楷體"/>
                <w:szCs w:val="24"/>
                <w:u w:val="single"/>
              </w:rPr>
            </w:pPr>
            <w:r>
              <w:rPr>
                <w:rFonts w:ascii="標楷體" w:eastAsia="標楷體" w:hAnsi="標楷體" w:hint="eastAsia"/>
                <w:szCs w:val="24"/>
                <w:u w:val="single"/>
              </w:rPr>
              <w:t>本條</w:t>
            </w:r>
            <w:r w:rsidR="00C64AA6" w:rsidRPr="00B14D77">
              <w:rPr>
                <w:rFonts w:ascii="標楷體" w:eastAsia="標楷體" w:hAnsi="標楷體" w:hint="eastAsia"/>
                <w:szCs w:val="24"/>
                <w:u w:val="single"/>
              </w:rPr>
              <w:t>新增。</w:t>
            </w:r>
          </w:p>
          <w:p w:rsidR="00C64AA6" w:rsidRPr="006C3331" w:rsidRDefault="006C3331" w:rsidP="001C70FF">
            <w:pPr>
              <w:pStyle w:val="a7"/>
              <w:numPr>
                <w:ilvl w:val="0"/>
                <w:numId w:val="7"/>
              </w:numPr>
              <w:ind w:leftChars="0"/>
              <w:jc w:val="both"/>
              <w:rPr>
                <w:rFonts w:ascii="標楷體" w:eastAsia="標楷體" w:hAnsi="標楷體"/>
                <w:szCs w:val="24"/>
                <w:u w:val="single"/>
              </w:rPr>
            </w:pPr>
            <w:r w:rsidRPr="00B14D77">
              <w:rPr>
                <w:rFonts w:ascii="標楷體" w:eastAsia="標楷體" w:hAnsi="標楷體" w:hint="eastAsia"/>
                <w:kern w:val="0"/>
                <w:szCs w:val="24"/>
              </w:rPr>
              <w:t>為保障參與沒收程序聲請人之意見陳述權，並釐清其聲請</w:t>
            </w:r>
            <w:r w:rsidR="00DB19E7">
              <w:rPr>
                <w:rFonts w:ascii="標楷體" w:eastAsia="標楷體" w:hAnsi="標楷體" w:hint="eastAsia"/>
                <w:kern w:val="0"/>
                <w:szCs w:val="24"/>
              </w:rPr>
              <w:t>是否</w:t>
            </w:r>
            <w:r w:rsidRPr="00B14D77">
              <w:rPr>
                <w:rFonts w:ascii="標楷體" w:eastAsia="標楷體" w:hAnsi="標楷體" w:hint="eastAsia"/>
                <w:kern w:val="0"/>
                <w:szCs w:val="24"/>
              </w:rPr>
              <w:t>合法、檢察官是否提出無沒收必要之意見</w:t>
            </w:r>
            <w:r w:rsidR="00DB19E7">
              <w:rPr>
                <w:rFonts w:ascii="標楷體" w:eastAsia="標楷體" w:hAnsi="標楷體" w:hint="eastAsia"/>
                <w:kern w:val="0"/>
                <w:szCs w:val="24"/>
              </w:rPr>
              <w:t>及</w:t>
            </w:r>
            <w:r w:rsidRPr="00B14D77">
              <w:rPr>
                <w:rFonts w:ascii="標楷體" w:eastAsia="標楷體" w:hAnsi="標楷體" w:hint="eastAsia"/>
                <w:kern w:val="0"/>
                <w:szCs w:val="24"/>
              </w:rPr>
              <w:t>第三人</w:t>
            </w:r>
            <w:r w:rsidRPr="00B14D77">
              <w:rPr>
                <w:rFonts w:ascii="標楷體" w:eastAsia="標楷體" w:hAnsi="標楷體" w:hint="eastAsia"/>
              </w:rPr>
              <w:t>就沒收其財產是否不異議</w:t>
            </w:r>
            <w:r>
              <w:rPr>
                <w:rFonts w:ascii="標楷體" w:eastAsia="標楷體" w:hAnsi="標楷體" w:hint="eastAsia"/>
                <w:kern w:val="0"/>
                <w:szCs w:val="24"/>
              </w:rPr>
              <w:t>等情，法院就參與沒收程序之聲請，於裁定前</w:t>
            </w:r>
            <w:r w:rsidRPr="00B14D77">
              <w:rPr>
                <w:rFonts w:ascii="標楷體" w:eastAsia="標楷體" w:hAnsi="標楷體" w:hint="eastAsia"/>
                <w:kern w:val="0"/>
                <w:szCs w:val="24"/>
              </w:rPr>
              <w:t>應通知聲請人及其代理人、本案當事人、自訴代理人、被告及其辯護人、代理人或輔佐人，予其陳述意見之機會，且得為必要之調查。</w:t>
            </w:r>
            <w:r>
              <w:rPr>
                <w:rFonts w:ascii="標楷體" w:eastAsia="標楷體" w:hAnsi="標楷體" w:hint="eastAsia"/>
                <w:szCs w:val="24"/>
              </w:rPr>
              <w:t>爰參考日本應急對策法第三條第六項規定之立法例，增訂本條</w:t>
            </w:r>
            <w:r w:rsidRPr="00B14D77">
              <w:rPr>
                <w:rFonts w:ascii="標楷體" w:eastAsia="標楷體" w:hAnsi="標楷體" w:hint="eastAsia"/>
                <w:szCs w:val="24"/>
              </w:rPr>
              <w:t>。</w:t>
            </w:r>
          </w:p>
        </w:tc>
      </w:tr>
      <w:tr w:rsidR="00C64AA6" w:rsidRPr="003873F6" w:rsidTr="00111886">
        <w:trPr>
          <w:trHeight w:val="1"/>
        </w:trPr>
        <w:tc>
          <w:tcPr>
            <w:tcW w:w="1775" w:type="pct"/>
            <w:tcMar>
              <w:left w:w="0" w:type="dxa"/>
              <w:right w:w="0" w:type="dxa"/>
            </w:tcMar>
          </w:tcPr>
          <w:p w:rsidR="00C64AA6" w:rsidRPr="00B14D77" w:rsidRDefault="00D40038" w:rsidP="00A3540D">
            <w:pPr>
              <w:snapToGrid w:val="0"/>
              <w:ind w:left="240" w:hanging="240"/>
              <w:jc w:val="both"/>
              <w:rPr>
                <w:rFonts w:ascii="標楷體" w:eastAsia="標楷體" w:hAnsi="標楷體" w:cs="標楷體"/>
              </w:rPr>
            </w:pPr>
            <w:r>
              <w:rPr>
                <w:rFonts w:ascii="標楷體" w:eastAsia="標楷體" w:hAnsi="標楷體" w:cs="標楷體" w:hint="eastAsia"/>
              </w:rPr>
              <w:t>第四百五十五條之十五</w:t>
            </w:r>
            <w:r w:rsidR="00C64AA6" w:rsidRPr="00B14D77">
              <w:rPr>
                <w:rFonts w:ascii="標楷體" w:eastAsia="標楷體" w:hAnsi="標楷體" w:cs="標楷體"/>
              </w:rPr>
              <w:t xml:space="preserve">  </w:t>
            </w:r>
            <w:r w:rsidR="00C64AA6" w:rsidRPr="00B14D77">
              <w:rPr>
                <w:rFonts w:ascii="標楷體" w:eastAsia="標楷體" w:hAnsi="標楷體" w:cs="標楷體" w:hint="eastAsia"/>
              </w:rPr>
              <w:t>案件有下列情形之一者，經檢察官或自訴代理人同意後，法院得免予沒收：</w:t>
            </w:r>
          </w:p>
          <w:p w:rsidR="00C64AA6" w:rsidRPr="00B14D77" w:rsidRDefault="00C64AA6" w:rsidP="00A3540D">
            <w:pPr>
              <w:snapToGrid w:val="0"/>
              <w:ind w:leftChars="100" w:left="720" w:hangingChars="200" w:hanging="480"/>
              <w:jc w:val="both"/>
              <w:rPr>
                <w:rFonts w:ascii="標楷體" w:eastAsia="標楷體" w:hAnsi="標楷體" w:cs="標楷體"/>
              </w:rPr>
            </w:pPr>
            <w:r w:rsidRPr="00B14D77">
              <w:rPr>
                <w:rFonts w:ascii="標楷體" w:eastAsia="標楷體" w:hAnsi="標楷體" w:cs="標楷體" w:hint="eastAsia"/>
              </w:rPr>
              <w:t>一、因科刑判決或諭知保安處分，沒收已無實益。</w:t>
            </w:r>
          </w:p>
          <w:p w:rsidR="00C64AA6" w:rsidRPr="00B14D77" w:rsidRDefault="00C64AA6" w:rsidP="00A3540D">
            <w:pPr>
              <w:snapToGrid w:val="0"/>
              <w:ind w:leftChars="100" w:left="720" w:hangingChars="200" w:hanging="480"/>
              <w:jc w:val="both"/>
              <w:rPr>
                <w:rFonts w:ascii="標楷體" w:eastAsia="標楷體" w:hAnsi="標楷體" w:cs="標楷體"/>
              </w:rPr>
            </w:pPr>
            <w:r w:rsidRPr="00B14D77">
              <w:rPr>
                <w:rFonts w:ascii="標楷體" w:eastAsia="標楷體" w:hAnsi="標楷體" w:cs="標楷體" w:hint="eastAsia"/>
              </w:rPr>
              <w:t>二、調查證據所需時間、費用與沒收之聲請顯不相當。</w:t>
            </w:r>
          </w:p>
          <w:p w:rsidR="00C64AA6" w:rsidRPr="00B14D77" w:rsidRDefault="00C64AA6" w:rsidP="00A3540D">
            <w:pPr>
              <w:snapToGrid w:val="0"/>
              <w:ind w:leftChars="100" w:left="240" w:firstLineChars="200" w:firstLine="480"/>
              <w:jc w:val="both"/>
              <w:rPr>
                <w:rFonts w:ascii="標楷體" w:eastAsia="標楷體" w:hAnsi="標楷體" w:cs="標楷體"/>
                <w:kern w:val="0"/>
              </w:rPr>
            </w:pPr>
            <w:r w:rsidRPr="00B14D77">
              <w:rPr>
                <w:rFonts w:ascii="標楷體" w:eastAsia="標楷體" w:hAnsi="標楷體" w:cs="標楷體" w:hint="eastAsia"/>
              </w:rPr>
              <w:t>檢察官或自訴代理人得於本案最後事實審言詞辯論終結前，撤回前項之同意。</w:t>
            </w:r>
          </w:p>
        </w:tc>
        <w:tc>
          <w:tcPr>
            <w:tcW w:w="1610" w:type="pct"/>
            <w:tcMar>
              <w:left w:w="0" w:type="dxa"/>
              <w:right w:w="0" w:type="dxa"/>
            </w:tcMar>
          </w:tcPr>
          <w:p w:rsidR="00C64AA6" w:rsidRPr="00B14D77" w:rsidRDefault="00C64AA6" w:rsidP="00A3540D">
            <w:pPr>
              <w:snapToGrid w:val="0"/>
              <w:ind w:left="240" w:hanging="240"/>
              <w:jc w:val="both"/>
              <w:rPr>
                <w:rFonts w:ascii="標楷體" w:eastAsia="標楷體" w:hAnsi="標楷體"/>
              </w:rPr>
            </w:pPr>
          </w:p>
        </w:tc>
        <w:tc>
          <w:tcPr>
            <w:tcW w:w="1615" w:type="pct"/>
          </w:tcPr>
          <w:p w:rsidR="00C64AA6" w:rsidRDefault="00D40038" w:rsidP="001C70FF">
            <w:pPr>
              <w:pStyle w:val="a7"/>
              <w:numPr>
                <w:ilvl w:val="0"/>
                <w:numId w:val="8"/>
              </w:numPr>
              <w:kinsoku w:val="0"/>
              <w:ind w:leftChars="0"/>
              <w:jc w:val="both"/>
              <w:rPr>
                <w:rFonts w:ascii="標楷體" w:eastAsia="標楷體" w:hAnsi="標楷體"/>
                <w:szCs w:val="24"/>
                <w:u w:val="single"/>
              </w:rPr>
            </w:pPr>
            <w:r>
              <w:rPr>
                <w:rFonts w:ascii="標楷體" w:eastAsia="標楷體" w:hAnsi="標楷體" w:hint="eastAsia"/>
                <w:szCs w:val="24"/>
                <w:u w:val="single"/>
              </w:rPr>
              <w:t>本條</w:t>
            </w:r>
            <w:r w:rsidR="00C64AA6" w:rsidRPr="00B14D77">
              <w:rPr>
                <w:rFonts w:ascii="標楷體" w:eastAsia="標楷體" w:hAnsi="標楷體" w:hint="eastAsia"/>
                <w:szCs w:val="24"/>
                <w:u w:val="single"/>
              </w:rPr>
              <w:t>新增。</w:t>
            </w:r>
          </w:p>
          <w:p w:rsidR="00D40038" w:rsidRPr="00D40038" w:rsidRDefault="00D40038" w:rsidP="001C70FF">
            <w:pPr>
              <w:pStyle w:val="a7"/>
              <w:numPr>
                <w:ilvl w:val="0"/>
                <w:numId w:val="8"/>
              </w:numPr>
              <w:kinsoku w:val="0"/>
              <w:ind w:leftChars="0"/>
              <w:jc w:val="both"/>
              <w:rPr>
                <w:rFonts w:ascii="標楷體" w:eastAsia="標楷體" w:hAnsi="標楷體"/>
                <w:szCs w:val="24"/>
                <w:u w:val="single"/>
              </w:rPr>
            </w:pPr>
            <w:r w:rsidRPr="00D40038">
              <w:rPr>
                <w:rFonts w:ascii="標楷體" w:eastAsia="標楷體" w:hAnsi="標楷體" w:cs="標楷體" w:hint="eastAsia"/>
              </w:rPr>
              <w:t>沒收第三人財產，若因對被告科處刑罰或諭知保安處分，致已無實益，或因程序需費過鉅，致與欲達成之目的顯不相當時，法院自得基於訴訟</w:t>
            </w:r>
            <w:r w:rsidR="00DB19E7">
              <w:rPr>
                <w:rFonts w:ascii="標楷體" w:eastAsia="標楷體" w:hAnsi="標楷體" w:cs="標楷體" w:hint="eastAsia"/>
              </w:rPr>
              <w:t>經濟</w:t>
            </w:r>
            <w:r w:rsidRPr="00D40038">
              <w:rPr>
                <w:rFonts w:ascii="標楷體" w:eastAsia="標楷體" w:hAnsi="標楷體" w:cs="標楷體" w:hint="eastAsia"/>
              </w:rPr>
              <w:t>，裁量不為沒收之宣告</w:t>
            </w:r>
            <w:r w:rsidR="00DB19E7">
              <w:rPr>
                <w:rFonts w:ascii="標楷體" w:eastAsia="標楷體" w:hAnsi="標楷體" w:cs="標楷體" w:hint="eastAsia"/>
              </w:rPr>
              <w:t>。</w:t>
            </w:r>
            <w:r w:rsidRPr="00D40038">
              <w:rPr>
                <w:rFonts w:ascii="標楷體" w:eastAsia="標楷體" w:hAnsi="標楷體" w:hint="eastAsia"/>
                <w:szCs w:val="24"/>
              </w:rPr>
              <w:t>爰</w:t>
            </w:r>
            <w:r w:rsidRPr="00D40038">
              <w:rPr>
                <w:rFonts w:ascii="標楷體" w:eastAsia="標楷體" w:hAnsi="標楷體" w:hint="eastAsia"/>
              </w:rPr>
              <w:t>參考德國刑事訴訟法第四百三十條第一項，</w:t>
            </w:r>
            <w:r w:rsidR="000C75D2">
              <w:rPr>
                <w:rFonts w:ascii="標楷體" w:eastAsia="標楷體" w:hAnsi="標楷體" w:hint="eastAsia"/>
              </w:rPr>
              <w:t>於</w:t>
            </w:r>
            <w:r w:rsidRPr="00D40038">
              <w:rPr>
                <w:rFonts w:ascii="標楷體" w:eastAsia="標楷體" w:hAnsi="標楷體" w:hint="eastAsia"/>
              </w:rPr>
              <w:t>上開情形，得經檢察官或自訴</w:t>
            </w:r>
            <w:r w:rsidR="00413C10">
              <w:rPr>
                <w:rFonts w:ascii="標楷體" w:eastAsia="標楷體" w:hAnsi="標楷體" w:hint="eastAsia"/>
              </w:rPr>
              <w:t>代</w:t>
            </w:r>
            <w:r w:rsidRPr="00D40038">
              <w:rPr>
                <w:rFonts w:ascii="標楷體" w:eastAsia="標楷體" w:hAnsi="標楷體" w:hint="eastAsia"/>
              </w:rPr>
              <w:t>理人同意，免予沒收之規定，增訂本條第一項。</w:t>
            </w:r>
          </w:p>
          <w:p w:rsidR="00C64AA6" w:rsidRPr="00D40038" w:rsidRDefault="00D40038" w:rsidP="001C70FF">
            <w:pPr>
              <w:pStyle w:val="a7"/>
              <w:numPr>
                <w:ilvl w:val="0"/>
                <w:numId w:val="8"/>
              </w:numPr>
              <w:kinsoku w:val="0"/>
              <w:ind w:leftChars="0"/>
              <w:jc w:val="both"/>
              <w:rPr>
                <w:rFonts w:ascii="標楷體" w:eastAsia="標楷體" w:hAnsi="標楷體"/>
                <w:szCs w:val="24"/>
                <w:u w:val="single"/>
              </w:rPr>
            </w:pPr>
            <w:r w:rsidRPr="00D40038">
              <w:rPr>
                <w:rFonts w:ascii="標楷體" w:eastAsia="標楷體" w:hAnsi="標楷體" w:hint="eastAsia"/>
                <w:szCs w:val="24"/>
              </w:rPr>
              <w:t>上開對於</w:t>
            </w:r>
            <w:r w:rsidRPr="00D40038">
              <w:rPr>
                <w:rFonts w:ascii="標楷體" w:eastAsia="標楷體" w:hAnsi="標楷體" w:cs="標楷體" w:hint="eastAsia"/>
              </w:rPr>
              <w:t>免予沒收第三</w:t>
            </w:r>
            <w:r w:rsidRPr="00D40038">
              <w:rPr>
                <w:rFonts w:ascii="標楷體" w:eastAsia="標楷體" w:hAnsi="標楷體" w:cs="標楷體" w:hint="eastAsia"/>
              </w:rPr>
              <w:lastRenderedPageBreak/>
              <w:t>人財產之同意，若因情事變更，認有不宜或不適當之情形，應容許於本案</w:t>
            </w:r>
            <w:r w:rsidRPr="00D40038">
              <w:rPr>
                <w:rFonts w:ascii="標楷體" w:eastAsia="標楷體" w:hAnsi="標楷體" w:hint="eastAsia"/>
              </w:rPr>
              <w:t>最後事實審</w:t>
            </w:r>
            <w:r w:rsidR="00CC7A38">
              <w:rPr>
                <w:rFonts w:ascii="標楷體" w:eastAsia="標楷體" w:hAnsi="標楷體" w:cs="標楷體" w:hint="eastAsia"/>
              </w:rPr>
              <w:t>言詞辯論終結前撤回，</w:t>
            </w:r>
            <w:r w:rsidRPr="00D40038">
              <w:rPr>
                <w:rFonts w:ascii="標楷體" w:eastAsia="標楷體" w:hAnsi="標楷體" w:cs="標楷體" w:hint="eastAsia"/>
              </w:rPr>
              <w:t>法院仍應就沒收財產事項，踐行相關訴訟程序。</w:t>
            </w:r>
            <w:r w:rsidRPr="00D40038">
              <w:rPr>
                <w:rFonts w:ascii="標楷體" w:eastAsia="標楷體" w:hAnsi="標楷體" w:hint="eastAsia"/>
                <w:szCs w:val="24"/>
              </w:rPr>
              <w:t>爰</w:t>
            </w:r>
            <w:r w:rsidRPr="00D40038">
              <w:rPr>
                <w:rFonts w:ascii="標楷體" w:eastAsia="標楷體" w:hAnsi="標楷體" w:hint="eastAsia"/>
              </w:rPr>
              <w:t>參考德國刑事訴訟法第四百三十條第三項後段之立法例，增訂本條第二項。</w:t>
            </w:r>
          </w:p>
        </w:tc>
      </w:tr>
      <w:tr w:rsidR="00C64AA6" w:rsidRPr="003873F6" w:rsidTr="00111886">
        <w:trPr>
          <w:trHeight w:val="1"/>
        </w:trPr>
        <w:tc>
          <w:tcPr>
            <w:tcW w:w="1775" w:type="pct"/>
            <w:tcMar>
              <w:left w:w="0" w:type="dxa"/>
              <w:right w:w="0" w:type="dxa"/>
            </w:tcMar>
          </w:tcPr>
          <w:p w:rsidR="00C64AA6" w:rsidRPr="00B14D77" w:rsidRDefault="009F74B5" w:rsidP="00A3540D">
            <w:pPr>
              <w:snapToGrid w:val="0"/>
              <w:ind w:left="240" w:hanging="240"/>
              <w:jc w:val="both"/>
              <w:rPr>
                <w:rFonts w:ascii="標楷體" w:eastAsia="標楷體" w:hAnsi="標楷體" w:cs="標楷體"/>
              </w:rPr>
            </w:pPr>
            <w:r>
              <w:rPr>
                <w:rFonts w:ascii="標楷體" w:eastAsia="標楷體" w:hAnsi="標楷體" w:cs="標楷體" w:hint="eastAsia"/>
              </w:rPr>
              <w:lastRenderedPageBreak/>
              <w:t>第四百五十五條之十六</w:t>
            </w:r>
            <w:r w:rsidR="00C64AA6" w:rsidRPr="00B14D77">
              <w:rPr>
                <w:rFonts w:ascii="標楷體" w:eastAsia="標楷體" w:hAnsi="標楷體" w:cs="標楷體"/>
              </w:rPr>
              <w:t xml:space="preserve">  </w:t>
            </w:r>
            <w:r w:rsidR="00C64AA6" w:rsidRPr="00B14D77">
              <w:rPr>
                <w:rFonts w:ascii="標楷體" w:eastAsia="標楷體" w:hAnsi="標楷體" w:cs="標楷體" w:hint="eastAsia"/>
              </w:rPr>
              <w:t>法院認為聲請</w:t>
            </w:r>
            <w:r w:rsidR="0014716B" w:rsidRPr="005B169C">
              <w:rPr>
                <w:rFonts w:ascii="標楷體" w:eastAsia="標楷體" w:hAnsi="標楷體" w:cs="標楷體" w:hint="eastAsia"/>
              </w:rPr>
              <w:t>參與沒收程序</w:t>
            </w:r>
            <w:r w:rsidR="00C64AA6" w:rsidRPr="00B14D77">
              <w:rPr>
                <w:rFonts w:ascii="標楷體" w:eastAsia="標楷體" w:hAnsi="標楷體" w:cs="標楷體" w:hint="eastAsia"/>
              </w:rPr>
              <w:t>不合法律上之程式或法律上不應准許或無理由者，應以裁定駁回之。但其不合法律上之程式可補正者，應定期間先命補正。</w:t>
            </w:r>
          </w:p>
          <w:p w:rsidR="00C64AA6" w:rsidRPr="00B14D77" w:rsidRDefault="00EB73E5" w:rsidP="00A3540D">
            <w:pPr>
              <w:snapToGrid w:val="0"/>
              <w:ind w:leftChars="100" w:left="240" w:firstLineChars="200" w:firstLine="480"/>
              <w:jc w:val="both"/>
              <w:rPr>
                <w:rFonts w:ascii="標楷體" w:eastAsia="標楷體" w:hAnsi="標楷體" w:cs="標楷體"/>
              </w:rPr>
            </w:pPr>
            <w:r>
              <w:rPr>
                <w:rFonts w:ascii="標楷體" w:eastAsia="標楷體" w:hAnsi="標楷體" w:cs="標楷體" w:hint="eastAsia"/>
              </w:rPr>
              <w:t>法院認為聲請</w:t>
            </w:r>
            <w:r w:rsidR="00077F96" w:rsidRPr="005B169C">
              <w:rPr>
                <w:rFonts w:ascii="標楷體" w:eastAsia="標楷體" w:hAnsi="標楷體" w:cs="標楷體" w:hint="eastAsia"/>
              </w:rPr>
              <w:t>參與沒收程序</w:t>
            </w:r>
            <w:r w:rsidR="00C64AA6" w:rsidRPr="00B14D77">
              <w:rPr>
                <w:rFonts w:ascii="標楷體" w:eastAsia="標楷體" w:hAnsi="標楷體" w:cs="標楷體" w:hint="eastAsia"/>
              </w:rPr>
              <w:t>有理由者，應為准許之裁定。</w:t>
            </w:r>
          </w:p>
          <w:p w:rsidR="00C64AA6" w:rsidRPr="00B14D77" w:rsidRDefault="00C64AA6" w:rsidP="00A3540D">
            <w:pPr>
              <w:snapToGrid w:val="0"/>
              <w:ind w:leftChars="100" w:left="240" w:firstLineChars="200" w:firstLine="480"/>
              <w:jc w:val="both"/>
              <w:rPr>
                <w:rFonts w:ascii="標楷體" w:eastAsia="標楷體" w:hAnsi="標楷體" w:cs="標楷體"/>
                <w:kern w:val="0"/>
              </w:rPr>
            </w:pPr>
            <w:r w:rsidRPr="00B14D77">
              <w:rPr>
                <w:rFonts w:ascii="標楷體" w:eastAsia="標楷體" w:hAnsi="標楷體" w:cs="標楷體" w:hint="eastAsia"/>
              </w:rPr>
              <w:t>前項裁定，不得抗告。</w:t>
            </w:r>
          </w:p>
        </w:tc>
        <w:tc>
          <w:tcPr>
            <w:tcW w:w="1610" w:type="pct"/>
            <w:tcMar>
              <w:left w:w="0" w:type="dxa"/>
              <w:right w:w="0" w:type="dxa"/>
            </w:tcMar>
          </w:tcPr>
          <w:p w:rsidR="00C64AA6" w:rsidRPr="00B14D77" w:rsidRDefault="00C64AA6" w:rsidP="00A3540D">
            <w:pPr>
              <w:snapToGrid w:val="0"/>
              <w:ind w:left="240" w:hanging="240"/>
              <w:jc w:val="both"/>
              <w:rPr>
                <w:rFonts w:ascii="標楷體" w:eastAsia="標楷體" w:hAnsi="標楷體"/>
              </w:rPr>
            </w:pPr>
          </w:p>
        </w:tc>
        <w:tc>
          <w:tcPr>
            <w:tcW w:w="1615" w:type="pct"/>
          </w:tcPr>
          <w:p w:rsidR="00C64AA6" w:rsidRDefault="00966CAD" w:rsidP="001C70FF">
            <w:pPr>
              <w:pStyle w:val="a7"/>
              <w:numPr>
                <w:ilvl w:val="0"/>
                <w:numId w:val="9"/>
              </w:numPr>
              <w:ind w:leftChars="0"/>
              <w:jc w:val="both"/>
              <w:rPr>
                <w:rFonts w:ascii="標楷體" w:eastAsia="標楷體" w:hAnsi="標楷體"/>
                <w:szCs w:val="24"/>
                <w:u w:val="single"/>
              </w:rPr>
            </w:pPr>
            <w:r>
              <w:rPr>
                <w:rFonts w:ascii="標楷體" w:eastAsia="標楷體" w:hAnsi="標楷體" w:hint="eastAsia"/>
                <w:szCs w:val="24"/>
                <w:u w:val="single"/>
              </w:rPr>
              <w:t>本條</w:t>
            </w:r>
            <w:r w:rsidR="00C64AA6" w:rsidRPr="00B14D77">
              <w:rPr>
                <w:rFonts w:ascii="標楷體" w:eastAsia="標楷體" w:hAnsi="標楷體" w:hint="eastAsia"/>
                <w:szCs w:val="24"/>
                <w:u w:val="single"/>
              </w:rPr>
              <w:t>新增。</w:t>
            </w:r>
          </w:p>
          <w:p w:rsidR="009F74B5" w:rsidRPr="009F74B5" w:rsidRDefault="009F74B5" w:rsidP="001C70FF">
            <w:pPr>
              <w:pStyle w:val="a7"/>
              <w:numPr>
                <w:ilvl w:val="0"/>
                <w:numId w:val="9"/>
              </w:numPr>
              <w:ind w:leftChars="0"/>
              <w:jc w:val="both"/>
              <w:rPr>
                <w:rFonts w:ascii="標楷體" w:eastAsia="標楷體" w:hAnsi="標楷體"/>
                <w:szCs w:val="24"/>
                <w:u w:val="single"/>
              </w:rPr>
            </w:pPr>
            <w:r w:rsidRPr="009F74B5">
              <w:rPr>
                <w:rFonts w:ascii="標楷體" w:eastAsia="標楷體" w:hAnsi="標楷體" w:hint="eastAsia"/>
                <w:kern w:val="0"/>
                <w:lang w:val="zh-TW"/>
              </w:rPr>
              <w:t>法院受理參與沒收程序之聲請，認為聲請有不合法律上程式或法律上不應准許等不合法情形，或無理由者，應即以裁定駁回之。但其不合法律上之程式可補正者，應定期間先命補正，爰於本條第一項規定之。</w:t>
            </w:r>
          </w:p>
          <w:p w:rsidR="009F74B5" w:rsidRDefault="009F74B5" w:rsidP="001C70FF">
            <w:pPr>
              <w:pStyle w:val="a7"/>
              <w:numPr>
                <w:ilvl w:val="0"/>
                <w:numId w:val="9"/>
              </w:numPr>
              <w:ind w:leftChars="0"/>
              <w:jc w:val="both"/>
              <w:rPr>
                <w:rFonts w:ascii="標楷體" w:eastAsia="標楷體" w:hAnsi="標楷體"/>
                <w:kern w:val="0"/>
                <w:lang w:val="zh-TW"/>
              </w:rPr>
            </w:pPr>
            <w:r w:rsidRPr="00B14D77">
              <w:rPr>
                <w:rFonts w:ascii="標楷體" w:eastAsia="標楷體" w:hAnsi="標楷體" w:hint="eastAsia"/>
                <w:kern w:val="0"/>
                <w:lang w:val="zh-TW"/>
              </w:rPr>
              <w:t>法院認為聲請有理由者，為使聲請人及檢察官知悉准許之意旨，應以裁定准許之，爰於本條第二項予以規定。</w:t>
            </w:r>
          </w:p>
          <w:p w:rsidR="00D71FB6" w:rsidRPr="00D71FB6" w:rsidRDefault="009F74B5" w:rsidP="001C70FF">
            <w:pPr>
              <w:pStyle w:val="a7"/>
              <w:numPr>
                <w:ilvl w:val="0"/>
                <w:numId w:val="9"/>
              </w:numPr>
              <w:ind w:leftChars="0"/>
              <w:jc w:val="both"/>
              <w:rPr>
                <w:rFonts w:ascii="標楷體" w:eastAsia="標楷體" w:hAnsi="標楷體"/>
                <w:szCs w:val="24"/>
                <w:u w:val="single"/>
              </w:rPr>
            </w:pPr>
            <w:r w:rsidRPr="009F74B5">
              <w:rPr>
                <w:rFonts w:ascii="標楷體" w:eastAsia="標楷體" w:hAnsi="標楷體" w:hint="eastAsia"/>
                <w:kern w:val="0"/>
                <w:lang w:val="zh-TW"/>
              </w:rPr>
              <w:t>聲請人參與沒收程序之聲請既經法院</w:t>
            </w:r>
            <w:r w:rsidR="00DB19E7">
              <w:rPr>
                <w:rFonts w:ascii="標楷體" w:eastAsia="標楷體" w:hAnsi="標楷體" w:hint="eastAsia"/>
                <w:kern w:val="0"/>
                <w:lang w:val="zh-TW"/>
              </w:rPr>
              <w:t>裁定</w:t>
            </w:r>
            <w:r w:rsidRPr="009F74B5">
              <w:rPr>
                <w:rFonts w:ascii="標楷體" w:eastAsia="標楷體" w:hAnsi="標楷體" w:hint="eastAsia"/>
                <w:kern w:val="0"/>
                <w:lang w:val="zh-TW"/>
              </w:rPr>
              <w:t>准許，即欠缺</w:t>
            </w:r>
            <w:r w:rsidRPr="009F74B5">
              <w:rPr>
                <w:rFonts w:ascii="標楷體" w:eastAsia="標楷體" w:hAnsi="標楷體" w:hint="eastAsia"/>
                <w:szCs w:val="24"/>
              </w:rPr>
              <w:t>提起抗告之程序上利益</w:t>
            </w:r>
            <w:r w:rsidR="00C73020">
              <w:rPr>
                <w:rFonts w:ascii="標楷體" w:eastAsia="標楷體" w:hAnsi="標楷體" w:hint="eastAsia"/>
                <w:szCs w:val="24"/>
              </w:rPr>
              <w:t>；</w:t>
            </w:r>
            <w:r w:rsidR="00DB19E7">
              <w:rPr>
                <w:rFonts w:ascii="標楷體" w:eastAsia="標楷體" w:hAnsi="標楷體" w:hint="eastAsia"/>
                <w:szCs w:val="24"/>
              </w:rPr>
              <w:t>又</w:t>
            </w:r>
            <w:r w:rsidRPr="009F74B5">
              <w:rPr>
                <w:rFonts w:ascii="標楷體" w:eastAsia="標楷體" w:hAnsi="標楷體" w:hint="eastAsia"/>
                <w:szCs w:val="24"/>
              </w:rPr>
              <w:t>本案當事人若認有不應准許之理由，因得於本案程序中加以釐清，亦無提起抗告救濟之必要。爰</w:t>
            </w:r>
            <w:r w:rsidR="00D71FB6">
              <w:rPr>
                <w:rFonts w:ascii="標楷體" w:eastAsia="標楷體" w:hAnsi="標楷體" w:hint="eastAsia"/>
                <w:szCs w:val="24"/>
              </w:rPr>
              <w:t>參考德國刑事訴訟法第四百三十一條第五項之規定，增訂本條第三項。</w:t>
            </w:r>
          </w:p>
          <w:p w:rsidR="00C64AA6" w:rsidRPr="009F74B5" w:rsidRDefault="009F74B5" w:rsidP="001C70FF">
            <w:pPr>
              <w:pStyle w:val="a7"/>
              <w:numPr>
                <w:ilvl w:val="0"/>
                <w:numId w:val="9"/>
              </w:numPr>
              <w:ind w:leftChars="0"/>
              <w:jc w:val="both"/>
              <w:rPr>
                <w:rFonts w:ascii="標楷體" w:eastAsia="標楷體" w:hAnsi="標楷體"/>
                <w:szCs w:val="24"/>
                <w:u w:val="single"/>
              </w:rPr>
            </w:pPr>
            <w:r w:rsidRPr="009F74B5">
              <w:rPr>
                <w:rFonts w:ascii="標楷體" w:eastAsia="標楷體" w:hAnsi="標楷體" w:hint="eastAsia"/>
                <w:szCs w:val="24"/>
              </w:rPr>
              <w:t>法院駁回參與沒收程序之裁定，對聲</w:t>
            </w:r>
            <w:r w:rsidR="00C73020">
              <w:rPr>
                <w:rFonts w:ascii="標楷體" w:eastAsia="標楷體" w:hAnsi="標楷體" w:hint="eastAsia"/>
                <w:szCs w:val="24"/>
              </w:rPr>
              <w:t>請之第三人</w:t>
            </w:r>
            <w:r w:rsidR="00C73020">
              <w:rPr>
                <w:rFonts w:ascii="標楷體" w:eastAsia="標楷體" w:hAnsi="標楷體" w:hint="eastAsia"/>
                <w:szCs w:val="24"/>
              </w:rPr>
              <w:lastRenderedPageBreak/>
              <w:t>而言，係駁回其聲請之終局裁定，攸關其權益甚鉅，依法本得</w:t>
            </w:r>
            <w:r w:rsidRPr="009F74B5">
              <w:rPr>
                <w:rFonts w:ascii="標楷體" w:eastAsia="標楷體" w:hAnsi="標楷體" w:hint="eastAsia"/>
                <w:szCs w:val="24"/>
              </w:rPr>
              <w:t>提起抗告，</w:t>
            </w:r>
            <w:r w:rsidR="00C73020">
              <w:rPr>
                <w:rFonts w:ascii="標楷體" w:eastAsia="標楷體" w:hAnsi="標楷體" w:hint="eastAsia"/>
                <w:szCs w:val="24"/>
              </w:rPr>
              <w:t>自</w:t>
            </w:r>
            <w:r w:rsidRPr="009F74B5">
              <w:rPr>
                <w:rFonts w:ascii="標楷體" w:eastAsia="標楷體" w:hAnsi="標楷體" w:hint="eastAsia"/>
                <w:szCs w:val="24"/>
              </w:rPr>
              <w:t>不待言。</w:t>
            </w:r>
          </w:p>
        </w:tc>
      </w:tr>
      <w:tr w:rsidR="00C64AA6" w:rsidRPr="003873F6" w:rsidTr="00111886">
        <w:trPr>
          <w:trHeight w:val="1"/>
        </w:trPr>
        <w:tc>
          <w:tcPr>
            <w:tcW w:w="1775" w:type="pct"/>
            <w:tcMar>
              <w:left w:w="0" w:type="dxa"/>
              <w:right w:w="0" w:type="dxa"/>
            </w:tcMar>
          </w:tcPr>
          <w:p w:rsidR="00C64AA6" w:rsidRPr="00B14D77" w:rsidRDefault="0064427C" w:rsidP="00A3540D">
            <w:pPr>
              <w:snapToGrid w:val="0"/>
              <w:ind w:left="240" w:hanging="240"/>
              <w:jc w:val="both"/>
              <w:rPr>
                <w:rFonts w:ascii="標楷體" w:eastAsia="標楷體" w:hAnsi="標楷體" w:cs="標楷體"/>
                <w:kern w:val="0"/>
              </w:rPr>
            </w:pPr>
            <w:r>
              <w:rPr>
                <w:rFonts w:ascii="標楷體" w:eastAsia="標楷體" w:hAnsi="標楷體" w:cs="標楷體" w:hint="eastAsia"/>
                <w:kern w:val="0"/>
              </w:rPr>
              <w:lastRenderedPageBreak/>
              <w:t>第四百五十五條之十七</w:t>
            </w:r>
            <w:r w:rsidR="00C64AA6" w:rsidRPr="00B14D77">
              <w:rPr>
                <w:rFonts w:ascii="標楷體" w:eastAsia="標楷體" w:hAnsi="標楷體" w:cs="標楷體"/>
                <w:kern w:val="0"/>
              </w:rPr>
              <w:t xml:space="preserve">  </w:t>
            </w:r>
            <w:r w:rsidR="00C64AA6" w:rsidRPr="00B14D77">
              <w:rPr>
                <w:rFonts w:ascii="標楷體" w:eastAsia="標楷體" w:hAnsi="標楷體" w:cs="標楷體" w:hint="eastAsia"/>
                <w:kern w:val="0"/>
              </w:rPr>
              <w:t>法院所為第三人參與沒收程序之裁定，應記載訴訟進行程度、參與之理由及得不待其到庭陳述逕行諭知沒收之旨。</w:t>
            </w:r>
          </w:p>
        </w:tc>
        <w:tc>
          <w:tcPr>
            <w:tcW w:w="1610" w:type="pct"/>
            <w:tcMar>
              <w:left w:w="0" w:type="dxa"/>
              <w:right w:w="0" w:type="dxa"/>
            </w:tcMar>
          </w:tcPr>
          <w:p w:rsidR="00C64AA6" w:rsidRPr="00B14D77" w:rsidRDefault="00C64AA6" w:rsidP="00A3540D">
            <w:pPr>
              <w:snapToGrid w:val="0"/>
              <w:ind w:left="240" w:hanging="240"/>
              <w:jc w:val="both"/>
              <w:rPr>
                <w:rFonts w:ascii="標楷體" w:eastAsia="標楷體" w:hAnsi="標楷體"/>
              </w:rPr>
            </w:pPr>
          </w:p>
        </w:tc>
        <w:tc>
          <w:tcPr>
            <w:tcW w:w="1615" w:type="pct"/>
          </w:tcPr>
          <w:p w:rsidR="00C64AA6" w:rsidRDefault="0064427C" w:rsidP="001C70FF">
            <w:pPr>
              <w:pStyle w:val="a7"/>
              <w:numPr>
                <w:ilvl w:val="0"/>
                <w:numId w:val="10"/>
              </w:numPr>
              <w:ind w:leftChars="0"/>
              <w:jc w:val="both"/>
              <w:rPr>
                <w:rFonts w:ascii="標楷體" w:eastAsia="標楷體" w:hAnsi="標楷體"/>
                <w:szCs w:val="24"/>
                <w:u w:val="single"/>
              </w:rPr>
            </w:pPr>
            <w:r>
              <w:rPr>
                <w:rFonts w:ascii="標楷體" w:eastAsia="標楷體" w:hAnsi="標楷體" w:hint="eastAsia"/>
                <w:szCs w:val="24"/>
                <w:u w:val="single"/>
              </w:rPr>
              <w:t>本條</w:t>
            </w:r>
            <w:r w:rsidR="00C64AA6" w:rsidRPr="00B14D77">
              <w:rPr>
                <w:rFonts w:ascii="標楷體" w:eastAsia="標楷體" w:hAnsi="標楷體" w:hint="eastAsia"/>
                <w:szCs w:val="24"/>
                <w:u w:val="single"/>
              </w:rPr>
              <w:t>新增。</w:t>
            </w:r>
          </w:p>
          <w:p w:rsidR="00C64AA6" w:rsidRPr="0064427C" w:rsidRDefault="0064427C" w:rsidP="001C70FF">
            <w:pPr>
              <w:pStyle w:val="a7"/>
              <w:numPr>
                <w:ilvl w:val="0"/>
                <w:numId w:val="10"/>
              </w:numPr>
              <w:ind w:leftChars="0"/>
              <w:jc w:val="both"/>
              <w:rPr>
                <w:rFonts w:ascii="標楷體" w:eastAsia="標楷體" w:hAnsi="標楷體"/>
                <w:szCs w:val="24"/>
                <w:u w:val="single"/>
              </w:rPr>
            </w:pPr>
            <w:r w:rsidRPr="00B14D77">
              <w:rPr>
                <w:rFonts w:ascii="標楷體" w:eastAsia="標楷體" w:hAnsi="標楷體" w:hint="eastAsia"/>
                <w:kern w:val="0"/>
                <w:szCs w:val="24"/>
              </w:rPr>
              <w:t>為使參與沒收程序之第三人，知悉對其伸張權利或防禦具有重要性之事項，裨益其進行訴訟上攻防，以落實對該第三人之程序保障，法院依聲請或依職權所為，准許或命第三人參與沒收程序之裁定，自應記載准許或命參與之理由、訴訟進度及該第三人不到庭陳述時法院得逕行宣告沒收之法律效果</w:t>
            </w:r>
            <w:r>
              <w:rPr>
                <w:rFonts w:ascii="標楷體" w:eastAsia="標楷體" w:hAnsi="標楷體" w:hint="eastAsia"/>
                <w:kern w:val="0"/>
                <w:szCs w:val="24"/>
              </w:rPr>
              <w:t>。</w:t>
            </w:r>
            <w:r w:rsidRPr="00B14D77">
              <w:rPr>
                <w:rFonts w:ascii="標楷體" w:eastAsia="標楷體" w:hAnsi="標楷體" w:hint="eastAsia"/>
                <w:szCs w:val="24"/>
              </w:rPr>
              <w:t>爰參考德國刑事訴訟法第四百三十五條第三項之立法例，增訂本條。</w:t>
            </w:r>
          </w:p>
        </w:tc>
      </w:tr>
      <w:tr w:rsidR="00C64AA6" w:rsidRPr="003873F6" w:rsidTr="00111886">
        <w:trPr>
          <w:trHeight w:val="1"/>
        </w:trPr>
        <w:tc>
          <w:tcPr>
            <w:tcW w:w="1775" w:type="pct"/>
            <w:tcMar>
              <w:left w:w="0" w:type="dxa"/>
              <w:right w:w="0" w:type="dxa"/>
            </w:tcMar>
          </w:tcPr>
          <w:p w:rsidR="00C64AA6" w:rsidRPr="00B14D77" w:rsidRDefault="008F58B1" w:rsidP="00CE41A2">
            <w:pPr>
              <w:snapToGrid w:val="0"/>
              <w:ind w:left="240" w:hanging="240"/>
              <w:jc w:val="both"/>
              <w:rPr>
                <w:rFonts w:ascii="標楷體" w:eastAsia="標楷體" w:hAnsi="標楷體" w:cs="標楷體"/>
                <w:kern w:val="0"/>
              </w:rPr>
            </w:pPr>
            <w:r>
              <w:rPr>
                <w:rFonts w:ascii="標楷體" w:eastAsia="標楷體" w:hAnsi="標楷體" w:cs="標楷體" w:hint="eastAsia"/>
                <w:kern w:val="0"/>
              </w:rPr>
              <w:t>第四百五十五條之十八</w:t>
            </w:r>
            <w:r w:rsidR="00C64AA6" w:rsidRPr="00B14D77">
              <w:rPr>
                <w:rFonts w:ascii="標楷體" w:eastAsia="標楷體" w:hAnsi="標楷體" w:cs="標楷體"/>
                <w:kern w:val="0"/>
              </w:rPr>
              <w:t xml:space="preserve">  </w:t>
            </w:r>
            <w:r w:rsidR="00C64AA6" w:rsidRPr="00B14D77">
              <w:rPr>
                <w:rFonts w:ascii="標楷體" w:eastAsia="標楷體" w:hAnsi="標楷體" w:cs="標楷體" w:hint="eastAsia"/>
                <w:kern w:val="0"/>
              </w:rPr>
              <w:t>行簡易程序、協商程序之案件，經法院裁定第三人參與沒收程序者，適用通常程序審判。</w:t>
            </w:r>
          </w:p>
        </w:tc>
        <w:tc>
          <w:tcPr>
            <w:tcW w:w="1610" w:type="pct"/>
            <w:tcMar>
              <w:left w:w="0" w:type="dxa"/>
              <w:right w:w="0" w:type="dxa"/>
            </w:tcMar>
          </w:tcPr>
          <w:p w:rsidR="00C64AA6" w:rsidRPr="00B14D77" w:rsidRDefault="00C64AA6" w:rsidP="00A3540D">
            <w:pPr>
              <w:snapToGrid w:val="0"/>
              <w:ind w:left="240" w:hanging="240"/>
              <w:jc w:val="both"/>
              <w:rPr>
                <w:rFonts w:ascii="標楷體" w:eastAsia="標楷體" w:hAnsi="標楷體"/>
              </w:rPr>
            </w:pPr>
          </w:p>
        </w:tc>
        <w:tc>
          <w:tcPr>
            <w:tcW w:w="1615" w:type="pct"/>
          </w:tcPr>
          <w:p w:rsidR="00C64AA6" w:rsidRDefault="008F58B1" w:rsidP="001C70FF">
            <w:pPr>
              <w:pStyle w:val="a7"/>
              <w:numPr>
                <w:ilvl w:val="0"/>
                <w:numId w:val="11"/>
              </w:numPr>
              <w:ind w:leftChars="0"/>
              <w:jc w:val="both"/>
              <w:rPr>
                <w:rFonts w:ascii="標楷體" w:eastAsia="標楷體" w:hAnsi="標楷體"/>
                <w:szCs w:val="24"/>
                <w:u w:val="single"/>
              </w:rPr>
            </w:pPr>
            <w:r>
              <w:rPr>
                <w:rFonts w:ascii="標楷體" w:eastAsia="標楷體" w:hAnsi="標楷體" w:hint="eastAsia"/>
                <w:szCs w:val="24"/>
                <w:u w:val="single"/>
              </w:rPr>
              <w:t>本條</w:t>
            </w:r>
            <w:r w:rsidR="00C64AA6" w:rsidRPr="00B14D77">
              <w:rPr>
                <w:rFonts w:ascii="標楷體" w:eastAsia="標楷體" w:hAnsi="標楷體" w:hint="eastAsia"/>
                <w:szCs w:val="24"/>
                <w:u w:val="single"/>
              </w:rPr>
              <w:t>新增。</w:t>
            </w:r>
          </w:p>
          <w:p w:rsidR="008F58B1" w:rsidRPr="008F58B1" w:rsidRDefault="008F58B1" w:rsidP="001C70FF">
            <w:pPr>
              <w:pStyle w:val="a7"/>
              <w:numPr>
                <w:ilvl w:val="0"/>
                <w:numId w:val="11"/>
              </w:numPr>
              <w:ind w:leftChars="0"/>
              <w:jc w:val="both"/>
              <w:rPr>
                <w:rFonts w:ascii="標楷體" w:eastAsia="標楷體" w:hAnsi="標楷體"/>
                <w:szCs w:val="24"/>
                <w:u w:val="single"/>
              </w:rPr>
            </w:pPr>
            <w:r w:rsidRPr="008F58B1">
              <w:rPr>
                <w:rFonts w:ascii="標楷體" w:eastAsia="標楷體" w:hAnsi="標楷體" w:hint="eastAsia"/>
                <w:szCs w:val="24"/>
              </w:rPr>
              <w:t>行簡易、協商程序案件，因被告或自白，或認罪，就起訴之犯罪事實並無爭執，案情已臻明確，故其審理之訴訟程序或證據調查，均較通常程序簡化，若經裁定第三人參與沒收程序，自應改依通常程序審判，以保障參與人，關於沒收其財產事項，所享有之聲請調查證據、詢問證人及鑑定人等與被告相同之訴訟上權利，爰增訂本條規定。</w:t>
            </w:r>
          </w:p>
          <w:p w:rsidR="00C64AA6" w:rsidRPr="008F58B1" w:rsidRDefault="008F58B1" w:rsidP="001C70FF">
            <w:pPr>
              <w:pStyle w:val="a7"/>
              <w:numPr>
                <w:ilvl w:val="0"/>
                <w:numId w:val="11"/>
              </w:numPr>
              <w:ind w:leftChars="0"/>
              <w:jc w:val="both"/>
              <w:rPr>
                <w:rFonts w:ascii="標楷體" w:eastAsia="標楷體" w:hAnsi="標楷體"/>
                <w:szCs w:val="24"/>
                <w:u w:val="single"/>
              </w:rPr>
            </w:pPr>
            <w:r w:rsidRPr="008F58B1">
              <w:rPr>
                <w:rFonts w:ascii="標楷體" w:eastAsia="標楷體" w:hAnsi="標楷體" w:hint="eastAsia"/>
                <w:szCs w:val="24"/>
              </w:rPr>
              <w:t>行通常程序之案件，經第三人參與沒收程序者，揆</w:t>
            </w:r>
            <w:r w:rsidRPr="008F58B1">
              <w:rPr>
                <w:rFonts w:ascii="標楷體" w:eastAsia="標楷體" w:hAnsi="標楷體" w:hint="eastAsia"/>
                <w:szCs w:val="24"/>
              </w:rPr>
              <w:lastRenderedPageBreak/>
              <w:t>諸前項說明，縱法院逕改行簡易或協商程序，依本條規定，仍需回復適用通常程序審判。</w:t>
            </w:r>
          </w:p>
        </w:tc>
      </w:tr>
      <w:tr w:rsidR="00C64AA6" w:rsidRPr="003873F6" w:rsidTr="00111886">
        <w:trPr>
          <w:trHeight w:val="1"/>
        </w:trPr>
        <w:tc>
          <w:tcPr>
            <w:tcW w:w="1775" w:type="pct"/>
            <w:tcMar>
              <w:left w:w="0" w:type="dxa"/>
              <w:right w:w="0" w:type="dxa"/>
            </w:tcMar>
          </w:tcPr>
          <w:p w:rsidR="00C64AA6" w:rsidRPr="00B14D77" w:rsidRDefault="009A2B79" w:rsidP="00A3540D">
            <w:pPr>
              <w:snapToGrid w:val="0"/>
              <w:ind w:left="240" w:hanging="240"/>
              <w:jc w:val="both"/>
              <w:rPr>
                <w:rFonts w:ascii="標楷體" w:eastAsia="標楷體" w:hAnsi="標楷體" w:cs="標楷體"/>
                <w:kern w:val="0"/>
              </w:rPr>
            </w:pPr>
            <w:r>
              <w:rPr>
                <w:rFonts w:ascii="標楷體" w:eastAsia="標楷體" w:hAnsi="標楷體" w:cs="標楷體" w:hint="eastAsia"/>
                <w:kern w:val="0"/>
              </w:rPr>
              <w:lastRenderedPageBreak/>
              <w:t>第四百五十五條之</w:t>
            </w:r>
            <w:r w:rsidR="00C64AA6" w:rsidRPr="00B14D77">
              <w:rPr>
                <w:rFonts w:ascii="標楷體" w:eastAsia="標楷體" w:hAnsi="標楷體" w:cs="標楷體" w:hint="eastAsia"/>
                <w:kern w:val="0"/>
              </w:rPr>
              <w:t>十</w:t>
            </w:r>
            <w:r>
              <w:rPr>
                <w:rFonts w:ascii="標楷體" w:eastAsia="標楷體" w:hAnsi="標楷體" w:cs="標楷體" w:hint="eastAsia"/>
                <w:kern w:val="0"/>
              </w:rPr>
              <w:t>九</w:t>
            </w:r>
            <w:r w:rsidR="00C64AA6" w:rsidRPr="00B14D77">
              <w:rPr>
                <w:rFonts w:ascii="標楷體" w:eastAsia="標楷體" w:hAnsi="標楷體" w:cs="標楷體"/>
                <w:kern w:val="0"/>
              </w:rPr>
              <w:t xml:space="preserve">  </w:t>
            </w:r>
            <w:r w:rsidR="00C64AA6" w:rsidRPr="00B14D77">
              <w:rPr>
                <w:rFonts w:ascii="標楷體" w:eastAsia="標楷體" w:hAnsi="標楷體" w:cs="標楷體" w:hint="eastAsia"/>
                <w:kern w:val="0"/>
              </w:rPr>
              <w:t>參與人就沒收其財產之事項，除本編有特別規定外，準用被告訴訟上權利之規定。</w:t>
            </w:r>
          </w:p>
        </w:tc>
        <w:tc>
          <w:tcPr>
            <w:tcW w:w="1610" w:type="pct"/>
            <w:tcMar>
              <w:left w:w="0" w:type="dxa"/>
              <w:right w:w="0" w:type="dxa"/>
            </w:tcMar>
          </w:tcPr>
          <w:p w:rsidR="00C64AA6" w:rsidRPr="00B14D77" w:rsidRDefault="00C64AA6" w:rsidP="00A3540D">
            <w:pPr>
              <w:snapToGrid w:val="0"/>
              <w:ind w:left="240" w:hanging="240"/>
              <w:jc w:val="both"/>
              <w:rPr>
                <w:rFonts w:ascii="標楷體" w:eastAsia="標楷體" w:hAnsi="標楷體"/>
              </w:rPr>
            </w:pPr>
          </w:p>
        </w:tc>
        <w:tc>
          <w:tcPr>
            <w:tcW w:w="1615" w:type="pct"/>
          </w:tcPr>
          <w:p w:rsidR="00C64AA6" w:rsidRDefault="009A2B79" w:rsidP="001C70FF">
            <w:pPr>
              <w:pStyle w:val="a7"/>
              <w:numPr>
                <w:ilvl w:val="0"/>
                <w:numId w:val="12"/>
              </w:numPr>
              <w:kinsoku w:val="0"/>
              <w:ind w:leftChars="0"/>
              <w:jc w:val="both"/>
              <w:rPr>
                <w:rFonts w:ascii="標楷體" w:eastAsia="標楷體" w:hAnsi="標楷體"/>
                <w:szCs w:val="24"/>
                <w:u w:val="single"/>
              </w:rPr>
            </w:pPr>
            <w:r>
              <w:rPr>
                <w:rFonts w:ascii="標楷體" w:eastAsia="標楷體" w:hAnsi="標楷體" w:hint="eastAsia"/>
                <w:szCs w:val="24"/>
                <w:u w:val="single"/>
              </w:rPr>
              <w:t>本條</w:t>
            </w:r>
            <w:r w:rsidR="00C64AA6" w:rsidRPr="00B14D77">
              <w:rPr>
                <w:rFonts w:ascii="標楷體" w:eastAsia="標楷體" w:hAnsi="標楷體" w:hint="eastAsia"/>
                <w:szCs w:val="24"/>
                <w:u w:val="single"/>
              </w:rPr>
              <w:t>新增。</w:t>
            </w:r>
          </w:p>
          <w:p w:rsidR="00C64AA6" w:rsidRPr="009A2B79" w:rsidRDefault="009A2B79" w:rsidP="001C70FF">
            <w:pPr>
              <w:pStyle w:val="a7"/>
              <w:numPr>
                <w:ilvl w:val="0"/>
                <w:numId w:val="12"/>
              </w:numPr>
              <w:kinsoku w:val="0"/>
              <w:ind w:leftChars="0"/>
              <w:jc w:val="both"/>
              <w:rPr>
                <w:rFonts w:ascii="標楷體" w:eastAsia="標楷體" w:hAnsi="標楷體"/>
                <w:szCs w:val="24"/>
                <w:u w:val="single"/>
              </w:rPr>
            </w:pPr>
            <w:r w:rsidRPr="00B14D77">
              <w:rPr>
                <w:rFonts w:ascii="標楷體" w:eastAsia="標楷體" w:hAnsi="標楷體" w:hint="eastAsia"/>
                <w:szCs w:val="24"/>
              </w:rPr>
              <w:t>沒收</w:t>
            </w:r>
            <w:r>
              <w:rPr>
                <w:rFonts w:ascii="標楷體" w:eastAsia="標楷體" w:hAnsi="標楷體" w:hint="eastAsia"/>
                <w:szCs w:val="24"/>
              </w:rPr>
              <w:t>人民財產使之歸屬國庫，對人民基本權干預程度，不亞於刑罰，故對</w:t>
            </w:r>
            <w:r w:rsidRPr="00B14D77">
              <w:rPr>
                <w:rFonts w:ascii="標楷體" w:eastAsia="標楷體" w:hAnsi="標楷體" w:hint="eastAsia"/>
                <w:szCs w:val="24"/>
              </w:rPr>
              <w:t>因財產可能</w:t>
            </w:r>
            <w:r>
              <w:rPr>
                <w:rFonts w:ascii="標楷體" w:eastAsia="標楷體" w:hAnsi="標楷體" w:hint="eastAsia"/>
                <w:szCs w:val="24"/>
              </w:rPr>
              <w:t>被沒收而參與訴訟程序之第三人，自應賦予其與被告同一之程序上保障。</w:t>
            </w:r>
            <w:r w:rsidRPr="00B14D77">
              <w:rPr>
                <w:rFonts w:ascii="標楷體" w:eastAsia="標楷體" w:hAnsi="標楷體" w:hint="eastAsia"/>
                <w:szCs w:val="24"/>
              </w:rPr>
              <w:t>爰參考日本應急對策法第四條第一項、德國刑事訴訟法第四百三十三條第一項</w:t>
            </w:r>
            <w:r w:rsidRPr="00B14D77">
              <w:rPr>
                <w:rFonts w:ascii="標楷體" w:eastAsia="標楷體" w:hAnsi="標楷體" w:hint="eastAsia"/>
              </w:rPr>
              <w:t>之立法例，增訂本條，明定參與人就沒收</w:t>
            </w:r>
            <w:r>
              <w:rPr>
                <w:rFonts w:ascii="標楷體" w:eastAsia="標楷體" w:hAnsi="標楷體" w:hint="eastAsia"/>
              </w:rPr>
              <w:t>其</w:t>
            </w:r>
            <w:r w:rsidRPr="00B14D77">
              <w:rPr>
                <w:rFonts w:ascii="標楷體" w:eastAsia="標楷體" w:hAnsi="標楷體" w:hint="eastAsia"/>
              </w:rPr>
              <w:t>財產之事項，除本編有特別規定外，準用被告訴訟上權利之規定。</w:t>
            </w:r>
          </w:p>
        </w:tc>
      </w:tr>
      <w:tr w:rsidR="00C64AA6" w:rsidRPr="003873F6" w:rsidTr="00111886">
        <w:trPr>
          <w:trHeight w:val="1"/>
        </w:trPr>
        <w:tc>
          <w:tcPr>
            <w:tcW w:w="1775" w:type="pct"/>
            <w:tcMar>
              <w:left w:w="0" w:type="dxa"/>
              <w:right w:w="0" w:type="dxa"/>
            </w:tcMar>
          </w:tcPr>
          <w:p w:rsidR="00C64AA6" w:rsidRPr="00B14D77" w:rsidRDefault="00681C75" w:rsidP="00A3540D">
            <w:pPr>
              <w:snapToGrid w:val="0"/>
              <w:ind w:left="240" w:hanging="240"/>
              <w:jc w:val="both"/>
              <w:rPr>
                <w:rFonts w:ascii="標楷體" w:eastAsia="標楷體" w:hAnsi="標楷體" w:cs="標楷體"/>
                <w:kern w:val="0"/>
              </w:rPr>
            </w:pPr>
            <w:r>
              <w:rPr>
                <w:rFonts w:ascii="標楷體" w:eastAsia="標楷體" w:hAnsi="標楷體" w:cs="標楷體" w:hint="eastAsia"/>
                <w:kern w:val="0"/>
              </w:rPr>
              <w:t>第四百五十五條之二十</w:t>
            </w:r>
            <w:r w:rsidR="00C64AA6" w:rsidRPr="00B14D77">
              <w:rPr>
                <w:rFonts w:ascii="標楷體" w:eastAsia="標楷體" w:hAnsi="標楷體" w:cs="標楷體"/>
                <w:kern w:val="0"/>
              </w:rPr>
              <w:t xml:space="preserve">  </w:t>
            </w:r>
            <w:r w:rsidR="00C64AA6" w:rsidRPr="00B14D77">
              <w:rPr>
                <w:rFonts w:ascii="標楷體" w:eastAsia="標楷體" w:hAnsi="標楷體" w:cs="標楷體" w:hint="eastAsia"/>
                <w:kern w:val="0"/>
              </w:rPr>
              <w:t>法院應將審判期日通知參與人並送達關於沒收其財產事項之文書。</w:t>
            </w:r>
          </w:p>
        </w:tc>
        <w:tc>
          <w:tcPr>
            <w:tcW w:w="1610" w:type="pct"/>
            <w:tcMar>
              <w:left w:w="0" w:type="dxa"/>
              <w:right w:w="0" w:type="dxa"/>
            </w:tcMar>
          </w:tcPr>
          <w:p w:rsidR="00C64AA6" w:rsidRPr="00B14D77" w:rsidRDefault="00C64AA6" w:rsidP="00A3540D">
            <w:pPr>
              <w:snapToGrid w:val="0"/>
              <w:ind w:left="240" w:hanging="240"/>
              <w:jc w:val="both"/>
              <w:rPr>
                <w:rFonts w:ascii="標楷體" w:eastAsia="標楷體" w:hAnsi="標楷體"/>
              </w:rPr>
            </w:pPr>
          </w:p>
        </w:tc>
        <w:tc>
          <w:tcPr>
            <w:tcW w:w="1615" w:type="pct"/>
          </w:tcPr>
          <w:p w:rsidR="00C64AA6" w:rsidRDefault="00681C75" w:rsidP="001C70FF">
            <w:pPr>
              <w:pStyle w:val="a7"/>
              <w:numPr>
                <w:ilvl w:val="0"/>
                <w:numId w:val="13"/>
              </w:numPr>
              <w:ind w:leftChars="0"/>
              <w:jc w:val="both"/>
              <w:rPr>
                <w:rFonts w:ascii="標楷體" w:eastAsia="標楷體" w:hAnsi="標楷體"/>
                <w:szCs w:val="24"/>
                <w:u w:val="single"/>
              </w:rPr>
            </w:pPr>
            <w:r>
              <w:rPr>
                <w:rFonts w:ascii="標楷體" w:eastAsia="標楷體" w:hAnsi="標楷體" w:hint="eastAsia"/>
                <w:szCs w:val="24"/>
                <w:u w:val="single"/>
              </w:rPr>
              <w:t>本條</w:t>
            </w:r>
            <w:r w:rsidR="00C64AA6" w:rsidRPr="00B14D77">
              <w:rPr>
                <w:rFonts w:ascii="標楷體" w:eastAsia="標楷體" w:hAnsi="標楷體" w:hint="eastAsia"/>
                <w:szCs w:val="24"/>
                <w:u w:val="single"/>
              </w:rPr>
              <w:t>新增。</w:t>
            </w:r>
          </w:p>
          <w:p w:rsidR="00C64AA6" w:rsidRPr="00681C75" w:rsidRDefault="00681C75" w:rsidP="001C70FF">
            <w:pPr>
              <w:pStyle w:val="a7"/>
              <w:numPr>
                <w:ilvl w:val="0"/>
                <w:numId w:val="13"/>
              </w:numPr>
              <w:ind w:leftChars="0"/>
              <w:jc w:val="both"/>
              <w:rPr>
                <w:rFonts w:ascii="標楷體" w:eastAsia="標楷體" w:hAnsi="標楷體"/>
                <w:szCs w:val="24"/>
                <w:u w:val="single"/>
              </w:rPr>
            </w:pPr>
            <w:r w:rsidRPr="00B14D77">
              <w:rPr>
                <w:rFonts w:ascii="標楷體" w:eastAsia="標楷體" w:hAnsi="標楷體" w:hint="eastAsia"/>
                <w:szCs w:val="24"/>
              </w:rPr>
              <w:t>審判期日及與沒收事項相關之訴訟資料，均攸關程序參與人訴訟上權益，屬於其資料請求權範圍，自應</w:t>
            </w:r>
            <w:r w:rsidR="000C1383">
              <w:rPr>
                <w:rFonts w:ascii="標楷體" w:eastAsia="標楷體" w:hAnsi="標楷體" w:hint="eastAsia"/>
                <w:szCs w:val="24"/>
              </w:rPr>
              <w:t>對其</w:t>
            </w:r>
            <w:r w:rsidRPr="00B14D77">
              <w:rPr>
                <w:rFonts w:ascii="標楷體" w:eastAsia="標楷體" w:hAnsi="標楷體" w:hint="eastAsia"/>
                <w:szCs w:val="24"/>
              </w:rPr>
              <w:t>通知</w:t>
            </w:r>
            <w:r w:rsidR="000C1383">
              <w:rPr>
                <w:rFonts w:ascii="標楷體" w:eastAsia="標楷體" w:hAnsi="標楷體" w:hint="eastAsia"/>
                <w:szCs w:val="24"/>
              </w:rPr>
              <w:t>及</w:t>
            </w:r>
            <w:r w:rsidRPr="00B14D77">
              <w:rPr>
                <w:rFonts w:ascii="標楷體" w:eastAsia="標楷體" w:hAnsi="標楷體" w:hint="eastAsia"/>
                <w:szCs w:val="24"/>
              </w:rPr>
              <w:t>送達</w:t>
            </w:r>
            <w:r>
              <w:rPr>
                <w:rFonts w:ascii="標楷體" w:eastAsia="標楷體" w:hAnsi="標楷體" w:hint="eastAsia"/>
                <w:szCs w:val="24"/>
              </w:rPr>
              <w:t>，</w:t>
            </w:r>
            <w:r w:rsidRPr="00B14D77">
              <w:rPr>
                <w:rFonts w:ascii="標楷體" w:eastAsia="標楷體" w:hAnsi="標楷體" w:hint="eastAsia"/>
                <w:szCs w:val="24"/>
              </w:rPr>
              <w:t>爰</w:t>
            </w:r>
            <w:r w:rsidRPr="00B14D77">
              <w:rPr>
                <w:rFonts w:ascii="標楷體" w:eastAsia="標楷體" w:hAnsi="標楷體" w:hint="eastAsia"/>
              </w:rPr>
              <w:t>於本條規定之</w:t>
            </w:r>
            <w:r w:rsidRPr="00B14D77">
              <w:rPr>
                <w:rFonts w:ascii="標楷體" w:eastAsia="標楷體" w:hAnsi="標楷體" w:hint="eastAsia"/>
                <w:szCs w:val="24"/>
              </w:rPr>
              <w:t>。</w:t>
            </w:r>
          </w:p>
        </w:tc>
      </w:tr>
      <w:tr w:rsidR="00C64AA6" w:rsidRPr="003873F6" w:rsidTr="00111886">
        <w:trPr>
          <w:trHeight w:val="1"/>
        </w:trPr>
        <w:tc>
          <w:tcPr>
            <w:tcW w:w="1775" w:type="pct"/>
            <w:tcMar>
              <w:left w:w="0" w:type="dxa"/>
              <w:right w:w="0" w:type="dxa"/>
            </w:tcMar>
          </w:tcPr>
          <w:p w:rsidR="00C64AA6" w:rsidRPr="00B14D77" w:rsidRDefault="00B745DD" w:rsidP="00A3540D">
            <w:pPr>
              <w:snapToGrid w:val="0"/>
              <w:ind w:left="240" w:hanging="240"/>
              <w:jc w:val="both"/>
              <w:rPr>
                <w:rFonts w:ascii="標楷體" w:eastAsia="標楷體" w:hAnsi="標楷體" w:cs="標楷體"/>
                <w:kern w:val="0"/>
              </w:rPr>
            </w:pPr>
            <w:r>
              <w:rPr>
                <w:rFonts w:ascii="標楷體" w:eastAsia="標楷體" w:hAnsi="標楷體" w:hint="eastAsia"/>
                <w:kern w:val="0"/>
              </w:rPr>
              <w:t>第四百五十五條之二十一</w:t>
            </w:r>
            <w:r w:rsidR="00C64AA6" w:rsidRPr="00B14D77">
              <w:rPr>
                <w:rFonts w:ascii="標楷體" w:eastAsia="標楷體" w:hAnsi="標楷體"/>
                <w:kern w:val="0"/>
              </w:rPr>
              <w:t xml:space="preserve">  </w:t>
            </w:r>
            <w:r w:rsidR="00C64AA6" w:rsidRPr="00B14D77">
              <w:rPr>
                <w:rFonts w:ascii="標楷體" w:eastAsia="標楷體" w:hAnsi="標楷體" w:hint="eastAsia"/>
                <w:kern w:val="0"/>
              </w:rPr>
              <w:t>參與人得委任代理人到場。但法院認為必要時，得命本人到場。</w:t>
            </w:r>
          </w:p>
          <w:p w:rsidR="00C64AA6" w:rsidRPr="00B14D77" w:rsidRDefault="00C64AA6" w:rsidP="00A3540D">
            <w:pPr>
              <w:snapToGrid w:val="0"/>
              <w:ind w:leftChars="100" w:left="240" w:firstLineChars="200" w:firstLine="480"/>
              <w:jc w:val="both"/>
              <w:rPr>
                <w:rFonts w:ascii="標楷體" w:eastAsia="標楷體" w:hAnsi="標楷體"/>
                <w:kern w:val="0"/>
              </w:rPr>
            </w:pPr>
            <w:r w:rsidRPr="00B14D77">
              <w:rPr>
                <w:rFonts w:ascii="標楷體" w:eastAsia="標楷體" w:hAnsi="標楷體" w:hint="eastAsia"/>
                <w:kern w:val="0"/>
              </w:rPr>
              <w:t>第二十八條至第三十條、第三十二條、第三十三條第一項及第三十五條第二項之規定，於參與人之代理人準用之。</w:t>
            </w:r>
          </w:p>
          <w:p w:rsidR="00C64AA6" w:rsidRPr="00B14D77" w:rsidRDefault="00C64AA6" w:rsidP="00A3540D">
            <w:pPr>
              <w:snapToGrid w:val="0"/>
              <w:ind w:leftChars="100" w:left="240" w:firstLineChars="200" w:firstLine="480"/>
              <w:jc w:val="both"/>
              <w:rPr>
                <w:rFonts w:ascii="標楷體" w:eastAsia="標楷體" w:hAnsi="標楷體"/>
                <w:kern w:val="0"/>
              </w:rPr>
            </w:pPr>
            <w:r w:rsidRPr="00B14D77">
              <w:rPr>
                <w:rFonts w:ascii="標楷體" w:eastAsia="標楷體" w:hAnsi="標楷體" w:cs="標楷體" w:hint="eastAsia"/>
                <w:kern w:val="0"/>
              </w:rPr>
              <w:t>第一項情形，如有必要命參與人本人到場者，應傳喚之；其經合法傳喚，無正當理</w:t>
            </w:r>
            <w:r w:rsidRPr="00B14D77">
              <w:rPr>
                <w:rFonts w:ascii="標楷體" w:eastAsia="標楷體" w:hAnsi="標楷體" w:hint="eastAsia"/>
                <w:kern w:val="0"/>
              </w:rPr>
              <w:t>由不到場者，得拘提之。</w:t>
            </w:r>
          </w:p>
          <w:p w:rsidR="00C64AA6" w:rsidRPr="00B14D77" w:rsidRDefault="00C64AA6" w:rsidP="00A3540D">
            <w:pPr>
              <w:snapToGrid w:val="0"/>
              <w:ind w:leftChars="100" w:left="240" w:firstLineChars="200" w:firstLine="480"/>
              <w:jc w:val="both"/>
              <w:rPr>
                <w:rFonts w:ascii="標楷體" w:eastAsia="標楷體" w:hAnsi="標楷體" w:cs="標楷體"/>
                <w:kern w:val="0"/>
              </w:rPr>
            </w:pPr>
            <w:r w:rsidRPr="00B14D77">
              <w:rPr>
                <w:rFonts w:ascii="標楷體" w:eastAsia="標楷體" w:hAnsi="標楷體" w:hint="eastAsia"/>
                <w:kern w:val="0"/>
              </w:rPr>
              <w:lastRenderedPageBreak/>
              <w:t>第七十一條、第七十二條至第七十四條、第七十七條至第八十三條及第八十九條至第九十一條之規定，於前項參與人之傳喚及拘提準用之。</w:t>
            </w:r>
          </w:p>
        </w:tc>
        <w:tc>
          <w:tcPr>
            <w:tcW w:w="1610" w:type="pct"/>
            <w:tcMar>
              <w:left w:w="0" w:type="dxa"/>
              <w:right w:w="0" w:type="dxa"/>
            </w:tcMar>
          </w:tcPr>
          <w:p w:rsidR="00C64AA6" w:rsidRPr="00B14D77" w:rsidRDefault="00C64AA6" w:rsidP="00A3540D">
            <w:pPr>
              <w:snapToGrid w:val="0"/>
              <w:ind w:left="240" w:hanging="240"/>
              <w:jc w:val="both"/>
              <w:rPr>
                <w:rFonts w:ascii="標楷體" w:eastAsia="標楷體" w:hAnsi="標楷體"/>
              </w:rPr>
            </w:pPr>
          </w:p>
        </w:tc>
        <w:tc>
          <w:tcPr>
            <w:tcW w:w="1615" w:type="pct"/>
          </w:tcPr>
          <w:p w:rsidR="00C64AA6" w:rsidRDefault="00B745DD" w:rsidP="001C70FF">
            <w:pPr>
              <w:pStyle w:val="a7"/>
              <w:numPr>
                <w:ilvl w:val="0"/>
                <w:numId w:val="14"/>
              </w:numPr>
              <w:kinsoku w:val="0"/>
              <w:ind w:leftChars="0"/>
              <w:jc w:val="both"/>
              <w:rPr>
                <w:rFonts w:ascii="標楷體" w:eastAsia="標楷體" w:hAnsi="標楷體"/>
                <w:szCs w:val="24"/>
                <w:u w:val="single"/>
              </w:rPr>
            </w:pPr>
            <w:r>
              <w:rPr>
                <w:rFonts w:ascii="標楷體" w:eastAsia="標楷體" w:hAnsi="標楷體" w:hint="eastAsia"/>
                <w:szCs w:val="24"/>
                <w:u w:val="single"/>
              </w:rPr>
              <w:t>本條</w:t>
            </w:r>
            <w:r w:rsidR="00C64AA6" w:rsidRPr="00B14D77">
              <w:rPr>
                <w:rFonts w:ascii="標楷體" w:eastAsia="標楷體" w:hAnsi="標楷體" w:hint="eastAsia"/>
                <w:szCs w:val="24"/>
                <w:u w:val="single"/>
              </w:rPr>
              <w:t>新增。</w:t>
            </w:r>
          </w:p>
          <w:p w:rsidR="00B745DD" w:rsidRPr="00B745DD" w:rsidRDefault="00B745DD" w:rsidP="001C70FF">
            <w:pPr>
              <w:pStyle w:val="a7"/>
              <w:numPr>
                <w:ilvl w:val="0"/>
                <w:numId w:val="14"/>
              </w:numPr>
              <w:kinsoku w:val="0"/>
              <w:ind w:leftChars="0"/>
              <w:jc w:val="both"/>
              <w:rPr>
                <w:rFonts w:ascii="標楷體" w:eastAsia="標楷體" w:hAnsi="標楷體"/>
                <w:szCs w:val="24"/>
                <w:u w:val="single"/>
              </w:rPr>
            </w:pPr>
            <w:r w:rsidRPr="00B745DD">
              <w:rPr>
                <w:rFonts w:ascii="標楷體" w:eastAsia="標楷體" w:hAnsi="標楷體" w:hint="eastAsia"/>
                <w:szCs w:val="24"/>
              </w:rPr>
              <w:t>參與沒收程序係第三人之權利非義務，且相關訴訟行為，性質上</w:t>
            </w:r>
            <w:r w:rsidR="00AA5396">
              <w:rPr>
                <w:rFonts w:ascii="標楷體" w:eastAsia="標楷體" w:hAnsi="標楷體" w:hint="eastAsia"/>
                <w:szCs w:val="24"/>
              </w:rPr>
              <w:t>並</w:t>
            </w:r>
            <w:r w:rsidRPr="00B745DD">
              <w:rPr>
                <w:rFonts w:ascii="標楷體" w:eastAsia="標楷體" w:hAnsi="標楷體" w:hint="eastAsia"/>
                <w:szCs w:val="24"/>
              </w:rPr>
              <w:t>非</w:t>
            </w:r>
            <w:r w:rsidR="00D34203">
              <w:rPr>
                <w:rFonts w:ascii="標楷體" w:eastAsia="標楷體" w:hAnsi="標楷體" w:hint="eastAsia"/>
                <w:szCs w:val="24"/>
              </w:rPr>
              <w:t>須由參與人親自</w:t>
            </w:r>
            <w:r w:rsidRPr="00B745DD">
              <w:rPr>
                <w:rFonts w:ascii="標楷體" w:eastAsia="標楷體" w:hAnsi="標楷體" w:hint="eastAsia"/>
                <w:szCs w:val="24"/>
              </w:rPr>
              <w:t>為之，是其程序之進行，原則上自</w:t>
            </w:r>
            <w:r>
              <w:rPr>
                <w:rFonts w:ascii="標楷體" w:eastAsia="標楷體" w:hAnsi="標楷體" w:hint="eastAsia"/>
              </w:rPr>
              <w:t>得委由代理人代為之。</w:t>
            </w:r>
            <w:r w:rsidRPr="00B745DD">
              <w:rPr>
                <w:rFonts w:ascii="標楷體" w:eastAsia="標楷體" w:hAnsi="標楷體" w:hint="eastAsia"/>
              </w:rPr>
              <w:t>爰參考</w:t>
            </w:r>
            <w:r w:rsidRPr="00B745DD">
              <w:rPr>
                <w:rFonts w:ascii="標楷體" w:eastAsia="標楷體" w:hAnsi="標楷體" w:hint="eastAsia"/>
                <w:szCs w:val="24"/>
              </w:rPr>
              <w:t>日本應急對策法第十條第一項、德國刑事訴訟法第四百三十四條第一項前段</w:t>
            </w:r>
            <w:r w:rsidRPr="00B745DD">
              <w:rPr>
                <w:rFonts w:ascii="標楷體" w:eastAsia="標楷體" w:hAnsi="標楷體" w:hint="eastAsia"/>
              </w:rPr>
              <w:t>之規定，增訂本條第</w:t>
            </w:r>
            <w:r w:rsidRPr="00B745DD">
              <w:rPr>
                <w:rFonts w:ascii="標楷體" w:eastAsia="標楷體" w:hAnsi="標楷體" w:hint="eastAsia"/>
              </w:rPr>
              <w:lastRenderedPageBreak/>
              <w:t>一項前段；並於本條第二項明定參與人代理人之人數與資格限制、權限及其應向法院提出授權證明文件等準用被告代理人規定。</w:t>
            </w:r>
          </w:p>
          <w:p w:rsidR="00C64AA6" w:rsidRPr="00B745DD" w:rsidRDefault="00B745DD" w:rsidP="001C70FF">
            <w:pPr>
              <w:pStyle w:val="a7"/>
              <w:numPr>
                <w:ilvl w:val="0"/>
                <w:numId w:val="14"/>
              </w:numPr>
              <w:kinsoku w:val="0"/>
              <w:ind w:leftChars="0"/>
              <w:jc w:val="both"/>
              <w:rPr>
                <w:rFonts w:ascii="標楷體" w:eastAsia="標楷體" w:hAnsi="標楷體"/>
                <w:szCs w:val="24"/>
                <w:u w:val="single"/>
              </w:rPr>
            </w:pPr>
            <w:r w:rsidRPr="00B745DD">
              <w:rPr>
                <w:rFonts w:ascii="標楷體" w:eastAsia="標楷體" w:hAnsi="標楷體" w:hint="eastAsia"/>
              </w:rPr>
              <w:t>沒收屬法院</w:t>
            </w:r>
            <w:r w:rsidR="00AA5396">
              <w:rPr>
                <w:rFonts w:ascii="標楷體" w:eastAsia="標楷體" w:hAnsi="標楷體" w:hint="eastAsia"/>
              </w:rPr>
              <w:t>依</w:t>
            </w:r>
            <w:r w:rsidRPr="00B745DD">
              <w:rPr>
                <w:rFonts w:ascii="標楷體" w:eastAsia="標楷體" w:hAnsi="標楷體" w:hint="eastAsia"/>
              </w:rPr>
              <w:t>職權調查之範圍，法院就有關沒收事項</w:t>
            </w:r>
            <w:r>
              <w:rPr>
                <w:rFonts w:ascii="標楷體" w:eastAsia="標楷體" w:hAnsi="標楷體" w:hint="eastAsia"/>
              </w:rPr>
              <w:t>之調查，若有必要命參與人到庭時，自得依法傳喚、拘提，強制其到場。</w:t>
            </w:r>
            <w:r w:rsidRPr="00B745DD">
              <w:rPr>
                <w:rFonts w:ascii="標楷體" w:eastAsia="標楷體" w:hAnsi="標楷體" w:hint="eastAsia"/>
              </w:rPr>
              <w:t>爰參考</w:t>
            </w:r>
            <w:r w:rsidRPr="00B745DD">
              <w:rPr>
                <w:rFonts w:ascii="標楷體" w:eastAsia="標楷體" w:hAnsi="標楷體" w:hint="eastAsia"/>
                <w:szCs w:val="24"/>
              </w:rPr>
              <w:t>德國刑事訴訟法第四百三十三條第二項前段之規定，於本條第三項、第四項規定之</w:t>
            </w:r>
            <w:r w:rsidRPr="00B14D77">
              <w:rPr>
                <w:rFonts w:hint="eastAsia"/>
              </w:rPr>
              <w:t>。</w:t>
            </w:r>
          </w:p>
        </w:tc>
      </w:tr>
      <w:tr w:rsidR="00C64AA6" w:rsidRPr="003873F6" w:rsidTr="00111886">
        <w:trPr>
          <w:trHeight w:val="1"/>
        </w:trPr>
        <w:tc>
          <w:tcPr>
            <w:tcW w:w="1775" w:type="pct"/>
            <w:tcMar>
              <w:left w:w="0" w:type="dxa"/>
              <w:right w:w="0" w:type="dxa"/>
            </w:tcMar>
          </w:tcPr>
          <w:p w:rsidR="00C64AA6" w:rsidRPr="00B14D77" w:rsidRDefault="0047463C" w:rsidP="00A3540D">
            <w:pPr>
              <w:snapToGrid w:val="0"/>
              <w:ind w:left="240" w:hanging="240"/>
              <w:jc w:val="both"/>
              <w:rPr>
                <w:rFonts w:ascii="標楷體" w:eastAsia="標楷體" w:hAnsi="標楷體" w:cs="標楷體"/>
                <w:kern w:val="0"/>
              </w:rPr>
            </w:pPr>
            <w:r>
              <w:rPr>
                <w:rFonts w:ascii="標楷體" w:eastAsia="標楷體" w:hAnsi="標楷體" w:hint="eastAsia"/>
                <w:kern w:val="0"/>
              </w:rPr>
              <w:lastRenderedPageBreak/>
              <w:t>第四百五十五條之二十二</w:t>
            </w:r>
            <w:r w:rsidR="00C64AA6" w:rsidRPr="00B14D77">
              <w:rPr>
                <w:rFonts w:ascii="標楷體" w:eastAsia="標楷體" w:hAnsi="標楷體"/>
                <w:kern w:val="0"/>
              </w:rPr>
              <w:t xml:space="preserve">  </w:t>
            </w:r>
            <w:r w:rsidR="00C64AA6" w:rsidRPr="00B14D77">
              <w:rPr>
                <w:rFonts w:ascii="標楷體" w:eastAsia="標楷體" w:hAnsi="標楷體" w:hint="eastAsia"/>
                <w:kern w:val="0"/>
              </w:rPr>
              <w:t>審判長應於審判期日向到場之參與人告知下列事項：</w:t>
            </w:r>
          </w:p>
          <w:p w:rsidR="00C64AA6" w:rsidRPr="00B14D77" w:rsidRDefault="00C64AA6" w:rsidP="00A3540D">
            <w:pPr>
              <w:pStyle w:val="aa"/>
              <w:snapToGrid w:val="0"/>
              <w:ind w:leftChars="100" w:left="720" w:hangingChars="200" w:hanging="480"/>
              <w:jc w:val="both"/>
              <w:rPr>
                <w:rFonts w:ascii="標楷體" w:eastAsia="標楷體" w:hAnsi="標楷體" w:cs="標楷體"/>
                <w:kern w:val="0"/>
              </w:rPr>
            </w:pPr>
            <w:r w:rsidRPr="00B14D77">
              <w:rPr>
                <w:rFonts w:ascii="標楷體" w:eastAsia="標楷體" w:hAnsi="標楷體" w:cs="標楷體" w:hint="eastAsia"/>
                <w:kern w:val="0"/>
              </w:rPr>
              <w:t>一、構成沒收理由之事實要旨。</w:t>
            </w:r>
          </w:p>
          <w:p w:rsidR="00C64AA6" w:rsidRPr="00B14D77" w:rsidRDefault="00C64AA6" w:rsidP="00A3540D">
            <w:pPr>
              <w:pStyle w:val="aa"/>
              <w:snapToGrid w:val="0"/>
              <w:ind w:leftChars="100" w:left="240"/>
              <w:jc w:val="both"/>
              <w:rPr>
                <w:rFonts w:ascii="標楷體" w:eastAsia="標楷體" w:hAnsi="標楷體" w:cs="標楷體"/>
                <w:kern w:val="0"/>
              </w:rPr>
            </w:pPr>
            <w:r w:rsidRPr="00B14D77">
              <w:rPr>
                <w:rFonts w:ascii="標楷體" w:eastAsia="標楷體" w:hAnsi="標楷體" w:cs="標楷體" w:hint="eastAsia"/>
                <w:kern w:val="0"/>
              </w:rPr>
              <w:t>二、訴訟進行程度。</w:t>
            </w:r>
          </w:p>
          <w:p w:rsidR="00C64AA6" w:rsidRPr="00B14D77" w:rsidRDefault="00C64AA6" w:rsidP="00A3540D">
            <w:pPr>
              <w:pStyle w:val="aa"/>
              <w:snapToGrid w:val="0"/>
              <w:ind w:leftChars="100" w:left="240"/>
              <w:jc w:val="both"/>
              <w:rPr>
                <w:rFonts w:ascii="標楷體" w:eastAsia="標楷體" w:hAnsi="標楷體" w:cs="標楷體"/>
                <w:kern w:val="0"/>
              </w:rPr>
            </w:pPr>
            <w:r w:rsidRPr="00B14D77">
              <w:rPr>
                <w:rFonts w:ascii="標楷體" w:eastAsia="標楷體" w:hAnsi="標楷體" w:cs="標楷體" w:hint="eastAsia"/>
                <w:kern w:val="0"/>
              </w:rPr>
              <w:t>三、得委任代理人到場。</w:t>
            </w:r>
          </w:p>
          <w:p w:rsidR="00C64AA6" w:rsidRPr="00B14D77" w:rsidRDefault="00C64AA6" w:rsidP="00A3540D">
            <w:pPr>
              <w:pStyle w:val="aa"/>
              <w:snapToGrid w:val="0"/>
              <w:ind w:leftChars="100" w:left="720" w:hangingChars="200" w:hanging="480"/>
              <w:jc w:val="both"/>
              <w:rPr>
                <w:rFonts w:ascii="標楷體" w:eastAsia="標楷體" w:hAnsi="標楷體" w:cs="標楷體"/>
                <w:kern w:val="0"/>
              </w:rPr>
            </w:pPr>
            <w:r w:rsidRPr="00B14D77">
              <w:rPr>
                <w:rFonts w:ascii="標楷體" w:eastAsia="標楷體" w:hAnsi="標楷體" w:cs="標楷體" w:hint="eastAsia"/>
                <w:kern w:val="0"/>
              </w:rPr>
              <w:t>四、得請求調查有利之證據。</w:t>
            </w:r>
          </w:p>
          <w:p w:rsidR="00C64AA6" w:rsidRPr="00B14D77" w:rsidRDefault="00D71FB6" w:rsidP="00A3540D">
            <w:pPr>
              <w:pStyle w:val="aa"/>
              <w:snapToGrid w:val="0"/>
              <w:ind w:leftChars="100" w:left="720" w:hangingChars="200" w:hanging="480"/>
              <w:jc w:val="both"/>
              <w:rPr>
                <w:rFonts w:ascii="標楷體" w:eastAsia="標楷體" w:hAnsi="標楷體" w:cs="標楷體"/>
                <w:kern w:val="0"/>
              </w:rPr>
            </w:pPr>
            <w:r>
              <w:rPr>
                <w:rFonts w:ascii="標楷體" w:eastAsia="標楷體" w:hAnsi="標楷體" w:cs="標楷體" w:hint="eastAsia"/>
                <w:kern w:val="0"/>
              </w:rPr>
              <w:t>五、除本</w:t>
            </w:r>
            <w:r w:rsidRPr="009B2BB1">
              <w:rPr>
                <w:rFonts w:ascii="標楷體" w:eastAsia="標楷體" w:hAnsi="標楷體" w:cs="標楷體" w:hint="eastAsia"/>
                <w:kern w:val="0"/>
              </w:rPr>
              <w:t>編</w:t>
            </w:r>
            <w:r w:rsidR="00C64AA6" w:rsidRPr="00B14D77">
              <w:rPr>
                <w:rFonts w:ascii="標楷體" w:eastAsia="標楷體" w:hAnsi="標楷體" w:cs="標楷體" w:hint="eastAsia"/>
                <w:kern w:val="0"/>
              </w:rPr>
              <w:t>另有規定外，就沒收其財產之事項，準用被告訴訟上權利之規定。</w:t>
            </w:r>
          </w:p>
        </w:tc>
        <w:tc>
          <w:tcPr>
            <w:tcW w:w="1610" w:type="pct"/>
            <w:tcMar>
              <w:left w:w="0" w:type="dxa"/>
              <w:right w:w="0" w:type="dxa"/>
            </w:tcMar>
          </w:tcPr>
          <w:p w:rsidR="00C64AA6" w:rsidRPr="00B14D77" w:rsidRDefault="00C64AA6" w:rsidP="00A3540D">
            <w:pPr>
              <w:snapToGrid w:val="0"/>
              <w:ind w:left="240" w:hanging="240"/>
              <w:jc w:val="both"/>
              <w:rPr>
                <w:rFonts w:ascii="標楷體" w:eastAsia="標楷體" w:hAnsi="標楷體"/>
              </w:rPr>
            </w:pPr>
          </w:p>
        </w:tc>
        <w:tc>
          <w:tcPr>
            <w:tcW w:w="1615" w:type="pct"/>
          </w:tcPr>
          <w:p w:rsidR="00C64AA6" w:rsidRDefault="0047463C" w:rsidP="001C70FF">
            <w:pPr>
              <w:pStyle w:val="a7"/>
              <w:numPr>
                <w:ilvl w:val="0"/>
                <w:numId w:val="15"/>
              </w:numPr>
              <w:kinsoku w:val="0"/>
              <w:ind w:leftChars="0"/>
              <w:jc w:val="both"/>
              <w:rPr>
                <w:rFonts w:ascii="標楷體" w:eastAsia="標楷體" w:hAnsi="標楷體"/>
                <w:szCs w:val="24"/>
                <w:u w:val="single"/>
              </w:rPr>
            </w:pPr>
            <w:r>
              <w:rPr>
                <w:rFonts w:ascii="標楷體" w:eastAsia="標楷體" w:hAnsi="標楷體" w:hint="eastAsia"/>
                <w:szCs w:val="24"/>
                <w:u w:val="single"/>
              </w:rPr>
              <w:t>本條</w:t>
            </w:r>
            <w:r w:rsidR="00C64AA6" w:rsidRPr="00B14D77">
              <w:rPr>
                <w:rFonts w:ascii="標楷體" w:eastAsia="標楷體" w:hAnsi="標楷體" w:hint="eastAsia"/>
                <w:szCs w:val="24"/>
                <w:u w:val="single"/>
              </w:rPr>
              <w:t>新增。</w:t>
            </w:r>
          </w:p>
          <w:p w:rsidR="00C64AA6" w:rsidRPr="0047463C" w:rsidRDefault="0047463C" w:rsidP="001C70FF">
            <w:pPr>
              <w:pStyle w:val="a7"/>
              <w:numPr>
                <w:ilvl w:val="0"/>
                <w:numId w:val="15"/>
              </w:numPr>
              <w:kinsoku w:val="0"/>
              <w:ind w:leftChars="0"/>
              <w:jc w:val="both"/>
              <w:rPr>
                <w:rFonts w:ascii="標楷體" w:eastAsia="標楷體" w:hAnsi="標楷體"/>
                <w:szCs w:val="24"/>
              </w:rPr>
            </w:pPr>
            <w:r w:rsidRPr="00B14D77">
              <w:rPr>
                <w:rFonts w:ascii="標楷體" w:eastAsia="標楷體" w:hAnsi="標楷體" w:hint="eastAsia"/>
                <w:szCs w:val="24"/>
              </w:rPr>
              <w:t>法院於審判期日，對到場之參與人所告知事項，應足使其知悉對其沒收之事實理由、訴訟進度、</w:t>
            </w:r>
            <w:r>
              <w:rPr>
                <w:rFonts w:ascii="標楷體" w:eastAsia="標楷體" w:hAnsi="標楷體" w:hint="eastAsia"/>
                <w:szCs w:val="24"/>
              </w:rPr>
              <w:t>得委任代理人、聲請調查證據及所得享有</w:t>
            </w:r>
            <w:r w:rsidR="00AA5396">
              <w:rPr>
                <w:rFonts w:ascii="標楷體" w:eastAsia="標楷體" w:hAnsi="標楷體" w:hint="eastAsia"/>
                <w:szCs w:val="24"/>
              </w:rPr>
              <w:t>之</w:t>
            </w:r>
            <w:r>
              <w:rPr>
                <w:rFonts w:ascii="標楷體" w:eastAsia="標楷體" w:hAnsi="標楷體" w:hint="eastAsia"/>
                <w:szCs w:val="24"/>
              </w:rPr>
              <w:t>程序上權利等，以保護其權益。</w:t>
            </w:r>
            <w:r w:rsidRPr="00B14D77">
              <w:rPr>
                <w:rFonts w:ascii="標楷體" w:eastAsia="標楷體" w:hAnsi="標楷體" w:hint="eastAsia"/>
              </w:rPr>
              <w:t>爰參考</w:t>
            </w:r>
            <w:r w:rsidRPr="00B14D77">
              <w:rPr>
                <w:rFonts w:ascii="標楷體" w:eastAsia="標楷體" w:hAnsi="標楷體" w:hint="eastAsia"/>
                <w:szCs w:val="24"/>
              </w:rPr>
              <w:t>日本應急對策法第五條第三項之立法例，於本條規定之</w:t>
            </w:r>
            <w:r w:rsidRPr="00B14D77">
              <w:rPr>
                <w:rFonts w:hint="eastAsia"/>
              </w:rPr>
              <w:t>。</w:t>
            </w:r>
          </w:p>
        </w:tc>
      </w:tr>
      <w:tr w:rsidR="00C64AA6" w:rsidRPr="003873F6" w:rsidTr="00111886">
        <w:trPr>
          <w:trHeight w:val="1"/>
        </w:trPr>
        <w:tc>
          <w:tcPr>
            <w:tcW w:w="1775" w:type="pct"/>
            <w:tcMar>
              <w:left w:w="0" w:type="dxa"/>
              <w:right w:w="0" w:type="dxa"/>
            </w:tcMar>
          </w:tcPr>
          <w:p w:rsidR="00C64AA6" w:rsidRPr="00B14D77" w:rsidRDefault="0047463C" w:rsidP="00A3540D">
            <w:pPr>
              <w:snapToGrid w:val="0"/>
              <w:ind w:left="240" w:hanging="240"/>
              <w:jc w:val="both"/>
              <w:rPr>
                <w:rFonts w:ascii="標楷體" w:eastAsia="標楷體" w:hAnsi="標楷體"/>
                <w:kern w:val="0"/>
              </w:rPr>
            </w:pPr>
            <w:r>
              <w:rPr>
                <w:rFonts w:ascii="標楷體" w:eastAsia="標楷體" w:hAnsi="標楷體" w:hint="eastAsia"/>
                <w:kern w:val="0"/>
              </w:rPr>
              <w:t>第四百五十五條之二十三</w:t>
            </w:r>
            <w:r w:rsidR="00C64AA6" w:rsidRPr="00B14D77">
              <w:rPr>
                <w:rFonts w:ascii="標楷體" w:eastAsia="標楷體" w:hAnsi="標楷體"/>
                <w:kern w:val="0"/>
              </w:rPr>
              <w:t xml:space="preserve">  </w:t>
            </w:r>
            <w:r w:rsidR="00C64AA6" w:rsidRPr="00B14D77">
              <w:rPr>
                <w:rFonts w:ascii="標楷體" w:eastAsia="標楷體" w:hAnsi="標楷體" w:hint="eastAsia"/>
                <w:kern w:val="0"/>
              </w:rPr>
              <w:t>參與沒收程序之證據調查，不</w:t>
            </w:r>
            <w:r w:rsidR="00817755" w:rsidRPr="005B169C">
              <w:rPr>
                <w:rFonts w:ascii="標楷體" w:eastAsia="標楷體" w:hAnsi="標楷體" w:hint="eastAsia"/>
                <w:kern w:val="0"/>
              </w:rPr>
              <w:t>適用</w:t>
            </w:r>
            <w:r w:rsidR="00C64AA6" w:rsidRPr="005B169C">
              <w:rPr>
                <w:rFonts w:ascii="標楷體" w:eastAsia="標楷體" w:hAnsi="標楷體" w:hint="eastAsia"/>
                <w:kern w:val="0"/>
              </w:rPr>
              <w:t>第一百六十六條至第一百六十六條之六</w:t>
            </w:r>
            <w:r w:rsidR="00817755" w:rsidRPr="005B169C">
              <w:rPr>
                <w:rFonts w:ascii="標楷體" w:eastAsia="標楷體" w:hAnsi="標楷體" w:hint="eastAsia"/>
                <w:kern w:val="0"/>
              </w:rPr>
              <w:t>之規</w:t>
            </w:r>
            <w:r w:rsidR="00817755" w:rsidRPr="00303892">
              <w:rPr>
                <w:rFonts w:ascii="標楷體" w:eastAsia="標楷體" w:hAnsi="標楷體" w:hint="eastAsia"/>
                <w:kern w:val="0"/>
              </w:rPr>
              <w:t>定</w:t>
            </w:r>
            <w:r w:rsidR="00C64AA6" w:rsidRPr="00B14D77">
              <w:rPr>
                <w:rFonts w:ascii="標楷體" w:eastAsia="標楷體" w:hAnsi="標楷體" w:hint="eastAsia"/>
                <w:kern w:val="0"/>
              </w:rPr>
              <w:t>。</w:t>
            </w:r>
          </w:p>
        </w:tc>
        <w:tc>
          <w:tcPr>
            <w:tcW w:w="1610" w:type="pct"/>
            <w:tcMar>
              <w:left w:w="0" w:type="dxa"/>
              <w:right w:w="0" w:type="dxa"/>
            </w:tcMar>
          </w:tcPr>
          <w:p w:rsidR="00C64AA6" w:rsidRPr="00B14D77" w:rsidRDefault="00C64AA6" w:rsidP="00A3540D">
            <w:pPr>
              <w:snapToGrid w:val="0"/>
              <w:ind w:left="240" w:hanging="240"/>
              <w:jc w:val="both"/>
              <w:rPr>
                <w:rFonts w:ascii="標楷體" w:eastAsia="標楷體" w:hAnsi="標楷體"/>
              </w:rPr>
            </w:pPr>
          </w:p>
        </w:tc>
        <w:tc>
          <w:tcPr>
            <w:tcW w:w="1615" w:type="pct"/>
          </w:tcPr>
          <w:p w:rsidR="00C64AA6" w:rsidRDefault="0047463C" w:rsidP="001C70FF">
            <w:pPr>
              <w:pStyle w:val="a7"/>
              <w:numPr>
                <w:ilvl w:val="0"/>
                <w:numId w:val="16"/>
              </w:numPr>
              <w:kinsoku w:val="0"/>
              <w:ind w:leftChars="0"/>
              <w:jc w:val="both"/>
              <w:rPr>
                <w:rFonts w:ascii="標楷體" w:eastAsia="標楷體" w:hAnsi="標楷體"/>
                <w:szCs w:val="24"/>
                <w:u w:val="single"/>
              </w:rPr>
            </w:pPr>
            <w:r>
              <w:rPr>
                <w:rFonts w:ascii="標楷體" w:eastAsia="標楷體" w:hAnsi="標楷體" w:hint="eastAsia"/>
                <w:szCs w:val="24"/>
                <w:u w:val="single"/>
              </w:rPr>
              <w:t>本條</w:t>
            </w:r>
            <w:r w:rsidR="00C64AA6" w:rsidRPr="00B14D77">
              <w:rPr>
                <w:rFonts w:ascii="標楷體" w:eastAsia="標楷體" w:hAnsi="標楷體" w:hint="eastAsia"/>
                <w:szCs w:val="24"/>
                <w:u w:val="single"/>
              </w:rPr>
              <w:t>新增。</w:t>
            </w:r>
          </w:p>
          <w:p w:rsidR="00C64AA6" w:rsidRPr="00AF4450" w:rsidRDefault="00AF4450" w:rsidP="001C70FF">
            <w:pPr>
              <w:pStyle w:val="a7"/>
              <w:numPr>
                <w:ilvl w:val="0"/>
                <w:numId w:val="16"/>
              </w:numPr>
              <w:kinsoku w:val="0"/>
              <w:ind w:leftChars="0"/>
              <w:jc w:val="both"/>
              <w:rPr>
                <w:rFonts w:ascii="標楷體" w:eastAsia="標楷體" w:hAnsi="標楷體"/>
                <w:szCs w:val="24"/>
                <w:u w:val="single"/>
              </w:rPr>
            </w:pPr>
            <w:r w:rsidRPr="00AF4450">
              <w:rPr>
                <w:rFonts w:ascii="標楷體" w:eastAsia="標楷體" w:hAnsi="標楷體" w:cs="標楷體" w:hint="eastAsia"/>
                <w:kern w:val="0"/>
                <w:szCs w:val="24"/>
                <w:lang w:val="zh-TW"/>
              </w:rPr>
              <w:t>刑事被告詰問證人之權利，屬憲法第八條第一項所指之正當法</w:t>
            </w:r>
            <w:r w:rsidRPr="00AF4450">
              <w:rPr>
                <w:rFonts w:ascii="標楷體" w:eastAsia="標楷體" w:hAnsi="標楷體" w:hint="eastAsia"/>
                <w:kern w:val="0"/>
                <w:lang w:val="zh-TW"/>
              </w:rPr>
              <w:t>律程序，為憲法第十六條所保障之人民訴訟權之</w:t>
            </w:r>
            <w:r w:rsidR="00D34203">
              <w:rPr>
                <w:rFonts w:ascii="標楷體" w:eastAsia="標楷體" w:hAnsi="標楷體" w:hint="eastAsia"/>
                <w:kern w:val="0"/>
                <w:lang w:val="zh-TW"/>
              </w:rPr>
              <w:t>一環</w:t>
            </w:r>
            <w:r w:rsidRPr="00AF4450">
              <w:rPr>
                <w:rFonts w:ascii="標楷體" w:eastAsia="標楷體" w:hAnsi="標楷體"/>
                <w:kern w:val="0"/>
                <w:lang w:val="zh-TW"/>
              </w:rPr>
              <w:t>(</w:t>
            </w:r>
            <w:r w:rsidRPr="00AF4450">
              <w:rPr>
                <w:rFonts w:ascii="標楷體" w:eastAsia="標楷體" w:hAnsi="標楷體" w:hint="eastAsia"/>
                <w:kern w:val="0"/>
                <w:lang w:val="zh-TW"/>
              </w:rPr>
              <w:t>司法院釋字第</w:t>
            </w:r>
            <w:r>
              <w:rPr>
                <w:rFonts w:ascii="標楷體" w:eastAsia="標楷體" w:hAnsi="標楷體" w:hint="eastAsia"/>
                <w:kern w:val="0"/>
                <w:lang w:val="zh-TW"/>
              </w:rPr>
              <w:t>五八二</w:t>
            </w:r>
            <w:r w:rsidRPr="00AF4450">
              <w:rPr>
                <w:rFonts w:ascii="標楷體" w:eastAsia="標楷體" w:hAnsi="標楷體" w:hint="eastAsia"/>
                <w:kern w:val="0"/>
                <w:lang w:val="zh-TW"/>
              </w:rPr>
              <w:t>號解釋意旨參照</w:t>
            </w:r>
            <w:r w:rsidRPr="00AF4450">
              <w:rPr>
                <w:rFonts w:ascii="標楷體" w:eastAsia="標楷體" w:hAnsi="標楷體"/>
                <w:kern w:val="0"/>
                <w:lang w:val="zh-TW"/>
              </w:rPr>
              <w:t>)</w:t>
            </w:r>
            <w:r w:rsidRPr="00AF4450">
              <w:rPr>
                <w:rFonts w:ascii="標楷體" w:eastAsia="標楷體" w:hAnsi="標楷體" w:hint="eastAsia"/>
                <w:kern w:val="0"/>
                <w:lang w:val="zh-TW"/>
              </w:rPr>
              <w:t>，刑事沒收程序參與人就沒收其財產之事項，與被告享有相同之訴訟上權利，自亦有</w:t>
            </w:r>
            <w:r w:rsidR="00AA5396">
              <w:rPr>
                <w:rFonts w:ascii="標楷體" w:eastAsia="標楷體" w:hAnsi="標楷體" w:hint="eastAsia"/>
                <w:kern w:val="0"/>
                <w:lang w:val="zh-TW"/>
              </w:rPr>
              <w:t>就此</w:t>
            </w:r>
            <w:r w:rsidRPr="00AF4450">
              <w:rPr>
                <w:rFonts w:ascii="標楷體" w:eastAsia="標楷體" w:hAnsi="標楷體" w:hint="eastAsia"/>
                <w:kern w:val="0"/>
                <w:lang w:val="zh-TW"/>
              </w:rPr>
              <w:t>詰問證人之權利。</w:t>
            </w:r>
            <w:r w:rsidR="00AA5396">
              <w:rPr>
                <w:rFonts w:ascii="標楷體" w:eastAsia="標楷體" w:hAnsi="標楷體" w:hint="eastAsia"/>
                <w:kern w:val="0"/>
                <w:lang w:val="zh-TW"/>
              </w:rPr>
              <w:t>又</w:t>
            </w:r>
            <w:r w:rsidRPr="00AF4450">
              <w:rPr>
                <w:rFonts w:ascii="標楷體" w:eastAsia="標楷體" w:hAnsi="標楷體" w:hint="eastAsia"/>
                <w:kern w:val="0"/>
                <w:lang w:val="zh-TW"/>
              </w:rPr>
              <w:t>參</w:t>
            </w:r>
            <w:r w:rsidRPr="00AF4450">
              <w:rPr>
                <w:rFonts w:ascii="標楷體" w:eastAsia="標楷體" w:hAnsi="標楷體" w:hint="eastAsia"/>
                <w:kern w:val="0"/>
                <w:lang w:val="zh-TW"/>
              </w:rPr>
              <w:lastRenderedPageBreak/>
              <w:t>與人依</w:t>
            </w:r>
            <w:r w:rsidRPr="00AF4450">
              <w:rPr>
                <w:rFonts w:ascii="標楷體" w:eastAsia="標楷體" w:hAnsi="標楷體" w:hint="eastAsia"/>
              </w:rPr>
              <w:t>本法第一百六十三條第一項規定，亦得詢問證人、鑑定人或被告，已</w:t>
            </w:r>
            <w:r>
              <w:rPr>
                <w:rFonts w:ascii="標楷體" w:eastAsia="標楷體" w:hAnsi="標楷體" w:cs="細明體" w:hint="eastAsia"/>
                <w:kern w:val="0"/>
              </w:rPr>
              <w:t>足以保障參與人訴訟上權益</w:t>
            </w:r>
            <w:r w:rsidR="00AA5396">
              <w:rPr>
                <w:rFonts w:ascii="標楷體" w:eastAsia="標楷體" w:hAnsi="標楷體" w:cs="細明體" w:hint="eastAsia"/>
                <w:kern w:val="0"/>
              </w:rPr>
              <w:t>。</w:t>
            </w:r>
            <w:r w:rsidRPr="00AF4450">
              <w:rPr>
                <w:rFonts w:ascii="標楷體" w:eastAsia="標楷體" w:hAnsi="標楷體" w:cs="細明體" w:hint="eastAsia"/>
                <w:kern w:val="0"/>
              </w:rPr>
              <w:t>且</w:t>
            </w:r>
            <w:r w:rsidRPr="00AF4450">
              <w:rPr>
                <w:rFonts w:ascii="標楷體" w:eastAsia="標楷體" w:hAnsi="標楷體" w:cs="細明體" w:hint="eastAsia"/>
                <w:kern w:val="0"/>
                <w:szCs w:val="24"/>
              </w:rPr>
              <w:t>參與沒收</w:t>
            </w:r>
            <w:r w:rsidR="00D34203">
              <w:rPr>
                <w:rFonts w:ascii="標楷體" w:eastAsia="標楷體" w:hAnsi="標楷體" w:cs="細明體" w:hint="eastAsia"/>
                <w:kern w:val="0"/>
                <w:szCs w:val="24"/>
              </w:rPr>
              <w:t>僅</w:t>
            </w:r>
            <w:r w:rsidR="00CF7612">
              <w:rPr>
                <w:rFonts w:ascii="標楷體" w:eastAsia="標楷體" w:hAnsi="標楷體" w:cs="細明體" w:hint="eastAsia"/>
                <w:kern w:val="0"/>
                <w:szCs w:val="24"/>
              </w:rPr>
              <w:t>係附麗</w:t>
            </w:r>
            <w:r w:rsidRPr="00AF4450">
              <w:rPr>
                <w:rFonts w:ascii="標楷體" w:eastAsia="標楷體" w:hAnsi="標楷體" w:cs="細明體" w:hint="eastAsia"/>
                <w:kern w:val="0"/>
                <w:szCs w:val="24"/>
              </w:rPr>
              <w:t>被告本案訴訟</w:t>
            </w:r>
            <w:r w:rsidR="002D1221">
              <w:rPr>
                <w:rFonts w:ascii="標楷體" w:eastAsia="標楷體" w:hAnsi="標楷體" w:cs="細明體" w:hint="eastAsia"/>
                <w:kern w:val="0"/>
                <w:szCs w:val="24"/>
              </w:rPr>
              <w:t>之程序，為避免其程序過於複雜，致影響被告本案訴訟程序之順暢進行</w:t>
            </w:r>
            <w:r w:rsidRPr="00AF4450">
              <w:rPr>
                <w:rFonts w:ascii="標楷體" w:eastAsia="標楷體" w:hAnsi="標楷體" w:cs="細明體" w:hint="eastAsia"/>
                <w:kern w:val="0"/>
                <w:szCs w:val="24"/>
              </w:rPr>
              <w:t>，爰於本條明定參與人詰問權之行使，不適用</w:t>
            </w:r>
            <w:r w:rsidRPr="00AF4450">
              <w:rPr>
                <w:rFonts w:ascii="標楷體" w:eastAsia="標楷體" w:hAnsi="標楷體" w:hint="eastAsia"/>
              </w:rPr>
              <w:t>交互詰問規則</w:t>
            </w:r>
            <w:r w:rsidRPr="00AF4450">
              <w:rPr>
                <w:rFonts w:ascii="標楷體" w:eastAsia="標楷體" w:hAnsi="標楷體" w:cs="細明體" w:hint="eastAsia"/>
                <w:kern w:val="0"/>
              </w:rPr>
              <w:t>。</w:t>
            </w:r>
          </w:p>
        </w:tc>
      </w:tr>
      <w:tr w:rsidR="00C64AA6" w:rsidRPr="003873F6" w:rsidTr="00111886">
        <w:trPr>
          <w:trHeight w:val="1"/>
        </w:trPr>
        <w:tc>
          <w:tcPr>
            <w:tcW w:w="1775" w:type="pct"/>
            <w:tcMar>
              <w:left w:w="0" w:type="dxa"/>
              <w:right w:w="0" w:type="dxa"/>
            </w:tcMar>
          </w:tcPr>
          <w:p w:rsidR="00C64AA6" w:rsidRPr="00B14D77" w:rsidRDefault="001B1DCA" w:rsidP="00A3540D">
            <w:pPr>
              <w:snapToGrid w:val="0"/>
              <w:ind w:left="240" w:hanging="240"/>
              <w:jc w:val="both"/>
              <w:rPr>
                <w:rFonts w:ascii="標楷體" w:eastAsia="標楷體" w:hAnsi="標楷體"/>
                <w:kern w:val="0"/>
              </w:rPr>
            </w:pPr>
            <w:r>
              <w:rPr>
                <w:rFonts w:ascii="標楷體" w:eastAsia="標楷體" w:hAnsi="標楷體" w:hint="eastAsia"/>
                <w:kern w:val="0"/>
              </w:rPr>
              <w:lastRenderedPageBreak/>
              <w:t>第四百五十五條之二十四</w:t>
            </w:r>
            <w:r w:rsidR="00C64AA6" w:rsidRPr="00B14D77">
              <w:rPr>
                <w:rFonts w:ascii="標楷體" w:eastAsia="標楷體" w:hAnsi="標楷體"/>
                <w:kern w:val="0"/>
              </w:rPr>
              <w:t xml:space="preserve">  </w:t>
            </w:r>
            <w:r w:rsidR="00C64AA6" w:rsidRPr="00B14D77">
              <w:rPr>
                <w:rFonts w:ascii="標楷體" w:eastAsia="標楷體" w:hAnsi="標楷體" w:hint="eastAsia"/>
                <w:kern w:val="0"/>
              </w:rPr>
              <w:t>參與人就沒收其財產事項之辯論，應於第二百八十九條程序完畢後，依同一次序行之。</w:t>
            </w:r>
          </w:p>
          <w:p w:rsidR="00C64AA6" w:rsidRPr="00B14D77" w:rsidRDefault="00C64AA6" w:rsidP="00A3540D">
            <w:pPr>
              <w:snapToGrid w:val="0"/>
              <w:ind w:leftChars="100" w:left="240" w:firstLineChars="200" w:firstLine="480"/>
              <w:jc w:val="both"/>
              <w:rPr>
                <w:rFonts w:ascii="標楷體" w:eastAsia="標楷體" w:hAnsi="標楷體" w:cs="標楷體"/>
                <w:kern w:val="0"/>
              </w:rPr>
            </w:pPr>
            <w:r w:rsidRPr="00B14D77">
              <w:rPr>
                <w:rFonts w:ascii="標楷體" w:eastAsia="標楷體" w:hAnsi="標楷體" w:hint="eastAsia"/>
                <w:kern w:val="0"/>
              </w:rPr>
              <w:t>參與人經合法傳喚或通知而不到庭者，得不待其陳述逕行判決；其未受許可而退庭或拒絕陳述者，亦同。</w:t>
            </w:r>
          </w:p>
        </w:tc>
        <w:tc>
          <w:tcPr>
            <w:tcW w:w="1610" w:type="pct"/>
            <w:tcMar>
              <w:left w:w="0" w:type="dxa"/>
              <w:right w:w="0" w:type="dxa"/>
            </w:tcMar>
          </w:tcPr>
          <w:p w:rsidR="00C64AA6" w:rsidRPr="00B14D77" w:rsidRDefault="00C64AA6" w:rsidP="00A3540D">
            <w:pPr>
              <w:snapToGrid w:val="0"/>
              <w:ind w:left="240" w:hanging="240"/>
              <w:jc w:val="both"/>
              <w:rPr>
                <w:rFonts w:ascii="標楷體" w:eastAsia="標楷體" w:hAnsi="標楷體"/>
              </w:rPr>
            </w:pPr>
          </w:p>
        </w:tc>
        <w:tc>
          <w:tcPr>
            <w:tcW w:w="1615" w:type="pct"/>
          </w:tcPr>
          <w:p w:rsidR="00C64AA6" w:rsidRDefault="001B1DCA" w:rsidP="001C70FF">
            <w:pPr>
              <w:pStyle w:val="a7"/>
              <w:numPr>
                <w:ilvl w:val="0"/>
                <w:numId w:val="17"/>
              </w:numPr>
              <w:kinsoku w:val="0"/>
              <w:ind w:leftChars="0"/>
              <w:jc w:val="both"/>
              <w:rPr>
                <w:rFonts w:ascii="標楷體" w:eastAsia="標楷體" w:hAnsi="標楷體"/>
                <w:szCs w:val="24"/>
                <w:u w:val="single"/>
              </w:rPr>
            </w:pPr>
            <w:r>
              <w:rPr>
                <w:rFonts w:ascii="標楷體" w:eastAsia="標楷體" w:hAnsi="標楷體" w:hint="eastAsia"/>
                <w:szCs w:val="24"/>
                <w:u w:val="single"/>
              </w:rPr>
              <w:t>本條</w:t>
            </w:r>
            <w:r w:rsidR="00C64AA6" w:rsidRPr="00B14D77">
              <w:rPr>
                <w:rFonts w:ascii="標楷體" w:eastAsia="標楷體" w:hAnsi="標楷體" w:hint="eastAsia"/>
                <w:szCs w:val="24"/>
                <w:u w:val="single"/>
              </w:rPr>
              <w:t>新增。</w:t>
            </w:r>
          </w:p>
          <w:p w:rsidR="001B1DCA" w:rsidRPr="001B1DCA" w:rsidRDefault="001B1DCA" w:rsidP="001C70FF">
            <w:pPr>
              <w:pStyle w:val="a7"/>
              <w:numPr>
                <w:ilvl w:val="0"/>
                <w:numId w:val="17"/>
              </w:numPr>
              <w:kinsoku w:val="0"/>
              <w:ind w:leftChars="0"/>
              <w:jc w:val="both"/>
              <w:rPr>
                <w:rFonts w:ascii="標楷體" w:eastAsia="標楷體" w:hAnsi="標楷體"/>
                <w:szCs w:val="24"/>
                <w:u w:val="single"/>
              </w:rPr>
            </w:pPr>
            <w:r w:rsidRPr="001B1DCA">
              <w:rPr>
                <w:rFonts w:ascii="標楷體" w:eastAsia="標楷體" w:hAnsi="標楷體" w:cs="細明體" w:hint="eastAsia"/>
                <w:kern w:val="0"/>
                <w:szCs w:val="24"/>
              </w:rPr>
              <w:t>參與人依本法第二百八十九條之規定，就沒收其財產之事項，固得為辯論，然參與程序僅為被告本案訴訟之附隨程序，其辯論自應於被告本案辯論之後依該條第一項之順序，由檢察官、被告、辯護人、參與人循序進行，爰於</w:t>
            </w:r>
            <w:r w:rsidRPr="001B1DCA">
              <w:rPr>
                <w:rFonts w:ascii="標楷體" w:eastAsia="標楷體" w:hAnsi="標楷體" w:hint="eastAsia"/>
              </w:rPr>
              <w:t>本條規定之。</w:t>
            </w:r>
          </w:p>
          <w:p w:rsidR="00C64AA6" w:rsidRPr="001B1DCA" w:rsidRDefault="001B1DCA" w:rsidP="001C70FF">
            <w:pPr>
              <w:pStyle w:val="a7"/>
              <w:numPr>
                <w:ilvl w:val="0"/>
                <w:numId w:val="17"/>
              </w:numPr>
              <w:kinsoku w:val="0"/>
              <w:ind w:leftChars="0"/>
              <w:jc w:val="both"/>
              <w:rPr>
                <w:rFonts w:ascii="標楷體" w:eastAsia="標楷體" w:hAnsi="標楷體"/>
                <w:szCs w:val="24"/>
                <w:u w:val="single"/>
              </w:rPr>
            </w:pPr>
            <w:r w:rsidRPr="001B1DCA">
              <w:rPr>
                <w:rFonts w:ascii="標楷體" w:eastAsia="標楷體" w:hAnsi="標楷體" w:hint="eastAsia"/>
                <w:szCs w:val="24"/>
              </w:rPr>
              <w:t>因</w:t>
            </w:r>
            <w:r w:rsidR="001768E8">
              <w:rPr>
                <w:rFonts w:ascii="標楷體" w:eastAsia="標楷體" w:hAnsi="標楷體" w:hint="eastAsia"/>
                <w:szCs w:val="24"/>
              </w:rPr>
              <w:t>財產可能被沒收</w:t>
            </w:r>
            <w:r w:rsidRPr="001B1DCA">
              <w:rPr>
                <w:rFonts w:ascii="標楷體" w:eastAsia="標楷體" w:hAnsi="標楷體" w:hint="eastAsia"/>
                <w:szCs w:val="24"/>
              </w:rPr>
              <w:t>而參與沒收程序者，得於刑事本案訴訟中到場為陳述意見等必要之訴訟行為，係提供其程序保障之權利規定，除法院認有必要而命其到場之情形外，原則上參與人並無到場之義務</w:t>
            </w:r>
            <w:r w:rsidR="00782282">
              <w:rPr>
                <w:rFonts w:ascii="標楷體" w:eastAsia="標楷體" w:hAnsi="標楷體" w:hint="eastAsia"/>
                <w:szCs w:val="24"/>
              </w:rPr>
              <w:t>。</w:t>
            </w:r>
            <w:r w:rsidRPr="001B1DCA">
              <w:rPr>
                <w:rFonts w:ascii="標楷體" w:eastAsia="標楷體" w:hAnsi="標楷體" w:hint="eastAsia"/>
                <w:szCs w:val="24"/>
              </w:rPr>
              <w:t>是參與人、其委任</w:t>
            </w:r>
            <w:r>
              <w:rPr>
                <w:rFonts w:ascii="標楷體" w:eastAsia="標楷體" w:hAnsi="標楷體" w:hint="eastAsia"/>
                <w:szCs w:val="24"/>
              </w:rPr>
              <w:t>之代理人，無正當理由而未到庭或到庭但拒絕陳述時，法院得逕行裁判。</w:t>
            </w:r>
            <w:r w:rsidRPr="001B1DCA">
              <w:rPr>
                <w:rFonts w:ascii="標楷體" w:eastAsia="標楷體" w:hAnsi="標楷體" w:hint="eastAsia"/>
              </w:rPr>
              <w:t>爰參考</w:t>
            </w:r>
            <w:r w:rsidRPr="001B1DCA">
              <w:rPr>
                <w:rFonts w:ascii="標楷體" w:eastAsia="標楷體" w:hAnsi="標楷體" w:hint="eastAsia"/>
                <w:szCs w:val="24"/>
              </w:rPr>
              <w:t>日本應急對策法第五條第一項、德國刑事訴訟法第四百三十六條</w:t>
            </w:r>
            <w:r w:rsidRPr="001B1DCA">
              <w:rPr>
                <w:rFonts w:ascii="標楷體" w:eastAsia="標楷體" w:hAnsi="標楷體" w:hint="eastAsia"/>
                <w:szCs w:val="24"/>
              </w:rPr>
              <w:lastRenderedPageBreak/>
              <w:t>第一項之立法例，增訂本條第二項規定</w:t>
            </w:r>
            <w:r w:rsidRPr="00B031C5">
              <w:rPr>
                <w:rFonts w:hint="eastAsia"/>
              </w:rPr>
              <w:t>。</w:t>
            </w:r>
          </w:p>
        </w:tc>
      </w:tr>
      <w:tr w:rsidR="00C64AA6" w:rsidRPr="003873F6" w:rsidTr="00111886">
        <w:trPr>
          <w:trHeight w:val="1"/>
        </w:trPr>
        <w:tc>
          <w:tcPr>
            <w:tcW w:w="1775" w:type="pct"/>
            <w:tcMar>
              <w:left w:w="0" w:type="dxa"/>
              <w:right w:w="0" w:type="dxa"/>
            </w:tcMar>
          </w:tcPr>
          <w:p w:rsidR="00C64AA6" w:rsidRPr="00B14D77" w:rsidRDefault="001121D8" w:rsidP="00A3540D">
            <w:pPr>
              <w:snapToGrid w:val="0"/>
              <w:ind w:left="240" w:hanging="240"/>
              <w:jc w:val="both"/>
              <w:rPr>
                <w:rFonts w:ascii="標楷體" w:eastAsia="標楷體" w:hAnsi="標楷體" w:cs="標楷體"/>
                <w:kern w:val="0"/>
              </w:rPr>
            </w:pPr>
            <w:r>
              <w:rPr>
                <w:rFonts w:ascii="標楷體" w:eastAsia="標楷體" w:hAnsi="標楷體" w:cs="標楷體" w:hint="eastAsia"/>
                <w:kern w:val="0"/>
              </w:rPr>
              <w:lastRenderedPageBreak/>
              <w:t>第四百五十五條之二十五</w:t>
            </w:r>
            <w:r w:rsidR="00C64AA6" w:rsidRPr="00B14D77">
              <w:rPr>
                <w:rFonts w:ascii="標楷體" w:eastAsia="標楷體" w:hAnsi="標楷體" w:cs="標楷體"/>
                <w:kern w:val="0"/>
              </w:rPr>
              <w:t xml:space="preserve">  </w:t>
            </w:r>
            <w:r w:rsidR="00C64AA6" w:rsidRPr="00B14D77">
              <w:rPr>
                <w:rFonts w:ascii="標楷體" w:eastAsia="標楷體" w:hAnsi="標楷體" w:cs="標楷體" w:hint="eastAsia"/>
                <w:kern w:val="0"/>
              </w:rPr>
              <w:t>法院裁定第三人參與沒收程序後，認有不應參與之情形者，應撤銷原裁定。</w:t>
            </w:r>
          </w:p>
        </w:tc>
        <w:tc>
          <w:tcPr>
            <w:tcW w:w="1610" w:type="pct"/>
            <w:tcMar>
              <w:left w:w="0" w:type="dxa"/>
              <w:right w:w="0" w:type="dxa"/>
            </w:tcMar>
          </w:tcPr>
          <w:p w:rsidR="00C64AA6" w:rsidRPr="00B14D77" w:rsidRDefault="00C64AA6" w:rsidP="00A3540D">
            <w:pPr>
              <w:snapToGrid w:val="0"/>
              <w:ind w:left="240" w:hanging="240"/>
              <w:jc w:val="both"/>
              <w:rPr>
                <w:rFonts w:ascii="標楷體" w:eastAsia="標楷體" w:hAnsi="標楷體"/>
              </w:rPr>
            </w:pPr>
          </w:p>
        </w:tc>
        <w:tc>
          <w:tcPr>
            <w:tcW w:w="1615" w:type="pct"/>
          </w:tcPr>
          <w:p w:rsidR="00C64AA6" w:rsidRDefault="001121D8" w:rsidP="001C70FF">
            <w:pPr>
              <w:pStyle w:val="a7"/>
              <w:numPr>
                <w:ilvl w:val="0"/>
                <w:numId w:val="18"/>
              </w:numPr>
              <w:kinsoku w:val="0"/>
              <w:ind w:leftChars="0"/>
              <w:jc w:val="both"/>
              <w:rPr>
                <w:rFonts w:ascii="標楷體" w:eastAsia="標楷體" w:hAnsi="標楷體"/>
                <w:szCs w:val="24"/>
                <w:u w:val="single"/>
              </w:rPr>
            </w:pPr>
            <w:r>
              <w:rPr>
                <w:rFonts w:ascii="標楷體" w:eastAsia="標楷體" w:hAnsi="標楷體" w:hint="eastAsia"/>
                <w:szCs w:val="24"/>
                <w:u w:val="single"/>
              </w:rPr>
              <w:t>本條</w:t>
            </w:r>
            <w:r w:rsidR="00C64AA6" w:rsidRPr="00B14D77">
              <w:rPr>
                <w:rFonts w:ascii="標楷體" w:eastAsia="標楷體" w:hAnsi="標楷體" w:hint="eastAsia"/>
                <w:szCs w:val="24"/>
                <w:u w:val="single"/>
              </w:rPr>
              <w:t>新增。</w:t>
            </w:r>
          </w:p>
          <w:p w:rsidR="00C64AA6" w:rsidRPr="001121D8" w:rsidRDefault="001121D8" w:rsidP="001C70FF">
            <w:pPr>
              <w:pStyle w:val="a7"/>
              <w:numPr>
                <w:ilvl w:val="0"/>
                <w:numId w:val="18"/>
              </w:numPr>
              <w:kinsoku w:val="0"/>
              <w:ind w:leftChars="0"/>
              <w:jc w:val="both"/>
              <w:rPr>
                <w:rFonts w:ascii="標楷體" w:eastAsia="標楷體" w:hAnsi="標楷體"/>
                <w:szCs w:val="24"/>
                <w:u w:val="single"/>
              </w:rPr>
            </w:pPr>
            <w:r w:rsidRPr="00DB6BD4">
              <w:rPr>
                <w:rFonts w:ascii="標楷體" w:eastAsia="標楷體" w:hAnsi="標楷體" w:hint="eastAsia"/>
                <w:szCs w:val="24"/>
              </w:rPr>
              <w:t>法院</w:t>
            </w:r>
            <w:r w:rsidRPr="00DB6BD4">
              <w:rPr>
                <w:rFonts w:ascii="標楷體" w:eastAsia="標楷體" w:hAnsi="標楷體" w:hint="eastAsia"/>
                <w:kern w:val="0"/>
              </w:rPr>
              <w:t>依聲請或依職權裁定准許或命第三人</w:t>
            </w:r>
            <w:r w:rsidRPr="00DB6BD4">
              <w:rPr>
                <w:rFonts w:ascii="標楷體" w:eastAsia="標楷體" w:hAnsi="標楷體" w:hint="eastAsia"/>
                <w:szCs w:val="24"/>
              </w:rPr>
              <w:t>參與沒收程序後，發</w:t>
            </w:r>
            <w:r w:rsidRPr="00DB6BD4">
              <w:rPr>
                <w:rFonts w:ascii="標楷體" w:eastAsia="標楷體" w:hAnsi="標楷體" w:hint="eastAsia"/>
              </w:rPr>
              <w:t>現有不應參與之情形，例如應沒收之財產明顯非屬參與人所有、參與人已陳明對於沒收不提出異議或檢察官表明無沒收參與人財產必要而法院認為適當者，原所為</w:t>
            </w:r>
            <w:r>
              <w:rPr>
                <w:rFonts w:ascii="標楷體" w:eastAsia="標楷體" w:hAnsi="標楷體" w:hint="eastAsia"/>
              </w:rPr>
              <w:t>參與沒收程序之裁定自應撤銷，以免</w:t>
            </w:r>
            <w:r w:rsidR="00782282">
              <w:rPr>
                <w:rFonts w:ascii="標楷體" w:eastAsia="標楷體" w:hAnsi="標楷體" w:hint="eastAsia"/>
              </w:rPr>
              <w:t>徒</w:t>
            </w:r>
            <w:r>
              <w:rPr>
                <w:rFonts w:ascii="標楷體" w:eastAsia="標楷體" w:hAnsi="標楷體" w:hint="eastAsia"/>
              </w:rPr>
              <w:t>增本案訴訟不必要之程序負擔。</w:t>
            </w:r>
            <w:r w:rsidRPr="00DB6BD4">
              <w:rPr>
                <w:rFonts w:ascii="標楷體" w:eastAsia="標楷體" w:hAnsi="標楷體" w:hint="eastAsia"/>
              </w:rPr>
              <w:t>爰參考日本應急對策法第三條第五項之立法例，增訂本條規定。</w:t>
            </w:r>
          </w:p>
        </w:tc>
      </w:tr>
      <w:tr w:rsidR="00C64AA6" w:rsidRPr="003873F6" w:rsidTr="00111886">
        <w:trPr>
          <w:trHeight w:val="1"/>
        </w:trPr>
        <w:tc>
          <w:tcPr>
            <w:tcW w:w="1775" w:type="pct"/>
            <w:tcMar>
              <w:left w:w="0" w:type="dxa"/>
              <w:right w:w="0" w:type="dxa"/>
            </w:tcMar>
          </w:tcPr>
          <w:p w:rsidR="00C64AA6" w:rsidRPr="00B14D77" w:rsidRDefault="001121D8" w:rsidP="00A3540D">
            <w:pPr>
              <w:snapToGrid w:val="0"/>
              <w:ind w:left="240" w:hanging="240"/>
              <w:jc w:val="both"/>
              <w:rPr>
                <w:rFonts w:ascii="標楷體" w:eastAsia="標楷體" w:hAnsi="標楷體" w:cs="標楷體"/>
                <w:kern w:val="0"/>
              </w:rPr>
            </w:pPr>
            <w:r>
              <w:rPr>
                <w:rFonts w:ascii="標楷體" w:eastAsia="標楷體" w:hAnsi="標楷體" w:cs="標楷體" w:hint="eastAsia"/>
                <w:kern w:val="0"/>
              </w:rPr>
              <w:t>第四百五十五條之二十六</w:t>
            </w:r>
            <w:r w:rsidR="00C64AA6" w:rsidRPr="00B14D77">
              <w:rPr>
                <w:rFonts w:ascii="標楷體" w:eastAsia="標楷體" w:hAnsi="標楷體" w:cs="標楷體"/>
                <w:kern w:val="0"/>
              </w:rPr>
              <w:t xml:space="preserve">  </w:t>
            </w:r>
            <w:r w:rsidR="00C64AA6" w:rsidRPr="00B14D77">
              <w:rPr>
                <w:rFonts w:ascii="標楷體" w:eastAsia="標楷體" w:hAnsi="標楷體" w:cs="標楷體" w:hint="eastAsia"/>
                <w:kern w:val="0"/>
              </w:rPr>
              <w:t>參與人財產經認定應沒收者，應對參與人諭知沒收該財產之判決。</w:t>
            </w:r>
          </w:p>
          <w:p w:rsidR="00C64AA6" w:rsidRPr="00B14D77" w:rsidRDefault="00C64AA6" w:rsidP="00A3540D">
            <w:pPr>
              <w:snapToGrid w:val="0"/>
              <w:ind w:leftChars="100" w:left="240" w:firstLineChars="200" w:firstLine="480"/>
              <w:jc w:val="both"/>
              <w:rPr>
                <w:rFonts w:ascii="標楷體" w:eastAsia="標楷體" w:hAnsi="標楷體" w:cs="標楷體"/>
                <w:kern w:val="0"/>
              </w:rPr>
            </w:pPr>
            <w:r w:rsidRPr="00B14D77">
              <w:rPr>
                <w:rFonts w:ascii="標楷體" w:eastAsia="標楷體" w:hAnsi="標楷體" w:cs="標楷體" w:hint="eastAsia"/>
                <w:kern w:val="0"/>
              </w:rPr>
              <w:t>前項沒收之判決，應記載其裁判之主文、構成沒收之事實與理由。理由內應分別情形記載認定事實所憑之證據及其認定之理由、對於參與人有利證據不採納之理由及應適用之法律。</w:t>
            </w:r>
          </w:p>
          <w:p w:rsidR="00C64AA6" w:rsidRPr="00B14D77" w:rsidRDefault="00C64AA6" w:rsidP="00A3540D">
            <w:pPr>
              <w:snapToGrid w:val="0"/>
              <w:ind w:leftChars="100" w:left="240" w:firstLineChars="200" w:firstLine="480"/>
              <w:jc w:val="both"/>
              <w:rPr>
                <w:rFonts w:ascii="標楷體" w:eastAsia="標楷體" w:hAnsi="標楷體" w:cs="標楷體"/>
                <w:kern w:val="0"/>
              </w:rPr>
            </w:pPr>
            <w:r w:rsidRPr="00B14D77">
              <w:rPr>
                <w:rFonts w:ascii="標楷體" w:eastAsia="標楷體" w:hAnsi="標楷體" w:cs="標楷體" w:hint="eastAsia"/>
                <w:kern w:val="0"/>
              </w:rPr>
              <w:t>第一項沒收應與本案同時判決。但有必要時，得分別為之。</w:t>
            </w:r>
          </w:p>
        </w:tc>
        <w:tc>
          <w:tcPr>
            <w:tcW w:w="1610" w:type="pct"/>
            <w:tcMar>
              <w:left w:w="0" w:type="dxa"/>
              <w:right w:w="0" w:type="dxa"/>
            </w:tcMar>
          </w:tcPr>
          <w:p w:rsidR="00C64AA6" w:rsidRPr="00B14D77" w:rsidRDefault="00C64AA6" w:rsidP="00A3540D">
            <w:pPr>
              <w:snapToGrid w:val="0"/>
              <w:ind w:left="240" w:hanging="240"/>
              <w:jc w:val="both"/>
              <w:rPr>
                <w:rFonts w:ascii="標楷體" w:eastAsia="標楷體" w:hAnsi="標楷體"/>
              </w:rPr>
            </w:pPr>
          </w:p>
        </w:tc>
        <w:tc>
          <w:tcPr>
            <w:tcW w:w="1615" w:type="pct"/>
          </w:tcPr>
          <w:p w:rsidR="00C64AA6" w:rsidRDefault="001121D8" w:rsidP="001C70FF">
            <w:pPr>
              <w:pStyle w:val="a7"/>
              <w:numPr>
                <w:ilvl w:val="0"/>
                <w:numId w:val="19"/>
              </w:numPr>
              <w:kinsoku w:val="0"/>
              <w:ind w:leftChars="0"/>
              <w:jc w:val="both"/>
              <w:rPr>
                <w:rFonts w:ascii="標楷體" w:eastAsia="標楷體" w:hAnsi="標楷體"/>
                <w:szCs w:val="24"/>
                <w:u w:val="single"/>
              </w:rPr>
            </w:pPr>
            <w:r>
              <w:rPr>
                <w:rFonts w:ascii="標楷體" w:eastAsia="標楷體" w:hAnsi="標楷體" w:hint="eastAsia"/>
                <w:szCs w:val="24"/>
                <w:u w:val="single"/>
              </w:rPr>
              <w:t>本條</w:t>
            </w:r>
            <w:r w:rsidR="00C64AA6" w:rsidRPr="00B14D77">
              <w:rPr>
                <w:rFonts w:ascii="標楷體" w:eastAsia="標楷體" w:hAnsi="標楷體" w:hint="eastAsia"/>
                <w:szCs w:val="24"/>
                <w:u w:val="single"/>
              </w:rPr>
              <w:t>新增。</w:t>
            </w:r>
          </w:p>
          <w:p w:rsidR="001121D8" w:rsidRPr="00236E84" w:rsidRDefault="001121D8" w:rsidP="00236E84">
            <w:pPr>
              <w:pStyle w:val="a7"/>
              <w:numPr>
                <w:ilvl w:val="0"/>
                <w:numId w:val="19"/>
              </w:numPr>
              <w:kinsoku w:val="0"/>
              <w:ind w:leftChars="0"/>
              <w:jc w:val="both"/>
              <w:rPr>
                <w:rFonts w:ascii="標楷體" w:eastAsia="標楷體" w:hAnsi="標楷體"/>
                <w:szCs w:val="24"/>
                <w:u w:val="single"/>
              </w:rPr>
            </w:pPr>
            <w:r w:rsidRPr="00236E84">
              <w:rPr>
                <w:rFonts w:ascii="標楷體" w:eastAsia="標楷體" w:hAnsi="標楷體" w:cs="標楷體" w:hint="eastAsia"/>
              </w:rPr>
              <w:t>法院認應沒收</w:t>
            </w:r>
            <w:r w:rsidRPr="00236E84">
              <w:rPr>
                <w:rFonts w:ascii="標楷體" w:eastAsia="標楷體" w:hAnsi="標楷體" w:hint="eastAsia"/>
                <w:kern w:val="0"/>
                <w:szCs w:val="24"/>
              </w:rPr>
              <w:t>參與人</w:t>
            </w:r>
            <w:r w:rsidRPr="00236E84">
              <w:rPr>
                <w:rFonts w:ascii="標楷體" w:eastAsia="標楷體" w:hAnsi="標楷體" w:cs="標楷體" w:hint="eastAsia"/>
              </w:rPr>
              <w:t>之財產者，應對參與人為諭知沒收該財產之判決，爰於本條第一項規定，以為裁判之依據。另於第二項規定該判決書應記載之事項，用資遵循。</w:t>
            </w:r>
            <w:r w:rsidR="00236E84" w:rsidRPr="00236E84">
              <w:rPr>
                <w:rStyle w:val="s12"/>
                <w:rFonts w:ascii="標楷體" w:eastAsia="標楷體" w:hAnsi="標楷體" w:hint="eastAsia"/>
              </w:rPr>
              <w:t>至</w:t>
            </w:r>
            <w:r w:rsidR="00236E84" w:rsidRPr="00236E84">
              <w:rPr>
                <w:rStyle w:val="s19"/>
                <w:rFonts w:ascii="標楷體" w:eastAsia="標楷體" w:hAnsi="標楷體" w:hint="eastAsia"/>
                <w:kern w:val="0"/>
              </w:rPr>
              <w:t>於法院認參與人財產不應沒收者，因沒收之調查與認定，本屬法院應依職權進行之事項，而</w:t>
            </w:r>
            <w:r w:rsidR="00236E84" w:rsidRPr="00236E84">
              <w:rPr>
                <w:rFonts w:ascii="標楷體" w:eastAsia="標楷體" w:hAnsi="標楷體" w:hint="eastAsia"/>
                <w:kern w:val="0"/>
              </w:rPr>
              <w:t>財產所有人參與沒收程序，亦可能由於法院依職權命之，均</w:t>
            </w:r>
            <w:r w:rsidR="00236E84" w:rsidRPr="00236E84">
              <w:rPr>
                <w:rStyle w:val="s19"/>
                <w:rFonts w:ascii="標楷體" w:eastAsia="標楷體" w:hAnsi="標楷體" w:hint="eastAsia"/>
                <w:kern w:val="0"/>
              </w:rPr>
              <w:t>不以當事人聲請為必要，故法院認不應沒收時，非必有應於裁判主文諭知駁回之聲請，然</w:t>
            </w:r>
            <w:r w:rsidR="00236E84" w:rsidRPr="00236E84">
              <w:rPr>
                <w:rFonts w:ascii="標楷體" w:eastAsia="標楷體" w:hAnsi="標楷體" w:hint="eastAsia"/>
                <w:kern w:val="0"/>
              </w:rPr>
              <w:t>應於所附隨之刑事本案判決中為適當說明形成心證之理由</w:t>
            </w:r>
            <w:r w:rsidR="00236E84" w:rsidRPr="00236E84">
              <w:rPr>
                <w:rFonts w:ascii="標楷體" w:eastAsia="標楷體" w:hAnsi="標楷體" w:hint="eastAsia"/>
                <w:kern w:val="0"/>
              </w:rPr>
              <w:lastRenderedPageBreak/>
              <w:t>，並利上級法院審查。</w:t>
            </w:r>
          </w:p>
          <w:p w:rsidR="00C64AA6" w:rsidRPr="001121D8" w:rsidRDefault="001121D8" w:rsidP="00236E84">
            <w:pPr>
              <w:pStyle w:val="a7"/>
              <w:numPr>
                <w:ilvl w:val="0"/>
                <w:numId w:val="19"/>
              </w:numPr>
              <w:kinsoku w:val="0"/>
              <w:ind w:leftChars="0"/>
              <w:jc w:val="both"/>
              <w:rPr>
                <w:rFonts w:ascii="標楷體" w:eastAsia="標楷體" w:hAnsi="標楷體"/>
                <w:szCs w:val="24"/>
                <w:u w:val="single"/>
              </w:rPr>
            </w:pPr>
            <w:r w:rsidRPr="001121D8">
              <w:rPr>
                <w:rFonts w:ascii="標楷體" w:eastAsia="標楷體" w:hAnsi="標楷體" w:hint="eastAsia"/>
                <w:szCs w:val="24"/>
              </w:rPr>
              <w:t>沒收第三人財產與認定被告罪責之刑事程序，同</w:t>
            </w:r>
            <w:r w:rsidRPr="001121D8">
              <w:rPr>
                <w:rFonts w:ascii="標楷體" w:eastAsia="標楷體" w:hAnsi="標楷體" w:hint="eastAsia"/>
                <w:kern w:val="0"/>
                <w:szCs w:val="24"/>
              </w:rPr>
              <w:t>以刑事違法行為存在為前提</w:t>
            </w:r>
            <w:r w:rsidRPr="001121D8">
              <w:rPr>
                <w:rFonts w:ascii="標楷體" w:eastAsia="標楷體" w:hAnsi="標楷體" w:hint="eastAsia"/>
                <w:szCs w:val="24"/>
              </w:rPr>
              <w:t>，除</w:t>
            </w:r>
            <w:r w:rsidRPr="001121D8">
              <w:rPr>
                <w:rFonts w:ascii="標楷體" w:eastAsia="標楷體" w:hAnsi="標楷體" w:hint="eastAsia"/>
              </w:rPr>
              <w:t>因</w:t>
            </w:r>
            <w:r w:rsidRPr="001121D8">
              <w:rPr>
                <w:rFonts w:ascii="標楷體" w:eastAsia="標楷體" w:hAnsi="標楷體" w:hint="eastAsia"/>
                <w:szCs w:val="24"/>
              </w:rPr>
              <w:t>法律上或事實上原因，致無法對</w:t>
            </w:r>
            <w:r w:rsidRPr="001121D8">
              <w:rPr>
                <w:rFonts w:eastAsia="標楷體" w:hAnsi="標楷體" w:hint="eastAsia"/>
              </w:rPr>
              <w:t>被告為刑事追訴或有罪判決外，</w:t>
            </w:r>
            <w:r w:rsidRPr="001121D8">
              <w:rPr>
                <w:rFonts w:ascii="標楷體" w:eastAsia="標楷體" w:hAnsi="標楷體" w:hint="eastAsia"/>
                <w:szCs w:val="24"/>
              </w:rPr>
              <w:t>原則上二者應同時進行、同時裁判，</w:t>
            </w:r>
            <w:r w:rsidR="00A4675C">
              <w:rPr>
                <w:rFonts w:ascii="標楷體" w:eastAsia="標楷體" w:hAnsi="標楷體" w:hint="eastAsia"/>
                <w:szCs w:val="24"/>
              </w:rPr>
              <w:t>以</w:t>
            </w:r>
            <w:r w:rsidRPr="001121D8">
              <w:rPr>
                <w:rFonts w:ascii="標楷體" w:eastAsia="標楷體" w:hAnsi="標楷體" w:hint="eastAsia"/>
                <w:szCs w:val="24"/>
              </w:rPr>
              <w:t>免裁判結果互相扞格，並</w:t>
            </w:r>
            <w:r w:rsidR="00904A70">
              <w:rPr>
                <w:rFonts w:ascii="標楷體" w:eastAsia="標楷體" w:hAnsi="標楷體" w:hint="eastAsia"/>
                <w:szCs w:val="24"/>
              </w:rPr>
              <w:t>符訴訟經濟</w:t>
            </w:r>
            <w:r w:rsidRPr="001121D8">
              <w:rPr>
                <w:rFonts w:ascii="標楷體" w:eastAsia="標楷體" w:hAnsi="標楷體" w:hint="eastAsia"/>
              </w:rPr>
              <w:t>。至法院裁定參與沒收程序後，本案訴訟有</w:t>
            </w:r>
            <w:r w:rsidRPr="001121D8">
              <w:rPr>
                <w:rFonts w:ascii="標楷體" w:eastAsia="標楷體" w:hAnsi="標楷體" w:hint="eastAsia"/>
                <w:szCs w:val="24"/>
              </w:rPr>
              <w:t>法律上或事實上原因致</w:t>
            </w:r>
            <w:r w:rsidRPr="001121D8">
              <w:rPr>
                <w:rFonts w:eastAsia="標楷體" w:hAnsi="標楷體" w:hint="eastAsia"/>
              </w:rPr>
              <w:t>無法賡續進行、裁判，或其他必要情形，法院自得就</w:t>
            </w:r>
            <w:r w:rsidRPr="001121D8">
              <w:rPr>
                <w:rFonts w:ascii="標楷體" w:eastAsia="標楷體" w:hAnsi="標楷體" w:cs="標楷體" w:hint="eastAsia"/>
              </w:rPr>
              <w:t>參與沒收部分，先予判決，</w:t>
            </w:r>
            <w:r w:rsidRPr="001121D8">
              <w:rPr>
                <w:rFonts w:ascii="標楷體" w:eastAsia="標楷體" w:hAnsi="標楷體" w:hint="eastAsia"/>
                <w:szCs w:val="24"/>
              </w:rPr>
              <w:t>爰</w:t>
            </w:r>
            <w:r w:rsidRPr="001121D8">
              <w:rPr>
                <w:rFonts w:ascii="標楷體" w:eastAsia="標楷體" w:hAnsi="標楷體" w:hint="eastAsia"/>
              </w:rPr>
              <w:t>增訂本條第三項規定。</w:t>
            </w:r>
          </w:p>
        </w:tc>
      </w:tr>
      <w:tr w:rsidR="00C64AA6" w:rsidRPr="003873F6" w:rsidTr="00111886">
        <w:trPr>
          <w:trHeight w:val="1"/>
        </w:trPr>
        <w:tc>
          <w:tcPr>
            <w:tcW w:w="1775" w:type="pct"/>
            <w:tcMar>
              <w:left w:w="0" w:type="dxa"/>
              <w:right w:w="0" w:type="dxa"/>
            </w:tcMar>
          </w:tcPr>
          <w:p w:rsidR="00FB0B43" w:rsidRPr="00B14D77" w:rsidRDefault="00FB0B43" w:rsidP="00FB0B43">
            <w:pPr>
              <w:snapToGrid w:val="0"/>
              <w:ind w:left="240" w:hanging="240"/>
              <w:jc w:val="both"/>
              <w:rPr>
                <w:rFonts w:ascii="標楷體" w:eastAsia="標楷體" w:hAnsi="標楷體" w:cs="標楷體"/>
                <w:kern w:val="0"/>
              </w:rPr>
            </w:pPr>
            <w:r>
              <w:rPr>
                <w:rFonts w:ascii="標楷體" w:eastAsia="標楷體" w:hAnsi="標楷體" w:cs="標楷體" w:hint="eastAsia"/>
                <w:kern w:val="0"/>
              </w:rPr>
              <w:lastRenderedPageBreak/>
              <w:t>第四百五十五條之二十七</w:t>
            </w:r>
            <w:r w:rsidR="00C64AA6" w:rsidRPr="00B14D77">
              <w:rPr>
                <w:rFonts w:ascii="標楷體" w:eastAsia="標楷體" w:hAnsi="標楷體" w:cs="標楷體"/>
                <w:kern w:val="0"/>
              </w:rPr>
              <w:t xml:space="preserve">  </w:t>
            </w:r>
            <w:r w:rsidRPr="00B14D77">
              <w:rPr>
                <w:rFonts w:ascii="標楷體" w:eastAsia="標楷體" w:hAnsi="標楷體" w:cs="標楷體" w:hint="eastAsia"/>
                <w:kern w:val="0"/>
              </w:rPr>
              <w:t>對於本案之判決提起上訴者，其效力及於相關之沒收判決。</w:t>
            </w:r>
          </w:p>
          <w:p w:rsidR="00FB0B43" w:rsidRPr="00B14D77" w:rsidRDefault="00FB0B43" w:rsidP="00FB0B43">
            <w:pPr>
              <w:snapToGrid w:val="0"/>
              <w:ind w:leftChars="100" w:left="240" w:firstLineChars="200" w:firstLine="480"/>
              <w:jc w:val="both"/>
              <w:rPr>
                <w:rFonts w:ascii="標楷體" w:eastAsia="標楷體" w:hAnsi="標楷體" w:cs="標楷體"/>
                <w:kern w:val="0"/>
              </w:rPr>
            </w:pPr>
            <w:r>
              <w:rPr>
                <w:rFonts w:ascii="標楷體" w:eastAsia="標楷體" w:hAnsi="標楷體" w:cs="標楷體" w:hint="eastAsia"/>
                <w:kern w:val="0"/>
              </w:rPr>
              <w:t>參與人提起第二審上訴時，不得就原審認定</w:t>
            </w:r>
            <w:r w:rsidRPr="00B14D77">
              <w:rPr>
                <w:rFonts w:ascii="標楷體" w:eastAsia="標楷體" w:hAnsi="標楷體" w:cs="標楷體" w:hint="eastAsia"/>
                <w:kern w:val="0"/>
              </w:rPr>
              <w:t>犯罪事實</w:t>
            </w:r>
            <w:r>
              <w:rPr>
                <w:rFonts w:ascii="標楷體" w:eastAsia="標楷體" w:hAnsi="標楷體" w:cs="標楷體" w:hint="eastAsia"/>
                <w:kern w:val="0"/>
              </w:rPr>
              <w:t>與沒收其財產相關部分</w:t>
            </w:r>
            <w:r w:rsidRPr="00B14D77">
              <w:rPr>
                <w:rFonts w:ascii="標楷體" w:eastAsia="標楷體" w:hAnsi="標楷體" w:cs="標楷體" w:hint="eastAsia"/>
                <w:kern w:val="0"/>
              </w:rPr>
              <w:t>再行爭執。但有下列情形之一者，不在此限：</w:t>
            </w:r>
          </w:p>
          <w:p w:rsidR="00FB0B43" w:rsidRPr="00B14D77" w:rsidRDefault="00FB0B43" w:rsidP="00FB0B43">
            <w:pPr>
              <w:snapToGrid w:val="0"/>
              <w:ind w:leftChars="100" w:left="720" w:hangingChars="200" w:hanging="480"/>
              <w:jc w:val="both"/>
              <w:rPr>
                <w:rFonts w:ascii="標楷體" w:eastAsia="標楷體" w:hAnsi="標楷體" w:cs="標楷體"/>
                <w:kern w:val="0"/>
              </w:rPr>
            </w:pPr>
            <w:r w:rsidRPr="00B14D77">
              <w:rPr>
                <w:rFonts w:ascii="標楷體" w:eastAsia="標楷體" w:hAnsi="標楷體" w:cs="標楷體" w:hint="eastAsia"/>
                <w:kern w:val="0"/>
              </w:rPr>
              <w:t>一、非因過失，未於原審就犯罪事實</w:t>
            </w:r>
            <w:r>
              <w:rPr>
                <w:rFonts w:ascii="標楷體" w:eastAsia="標楷體" w:hAnsi="標楷體" w:cs="標楷體" w:hint="eastAsia"/>
                <w:kern w:val="0"/>
              </w:rPr>
              <w:t>與沒收其財產相關部分</w:t>
            </w:r>
            <w:r w:rsidRPr="00B14D77">
              <w:rPr>
                <w:rFonts w:ascii="標楷體" w:eastAsia="標楷體" w:hAnsi="標楷體" w:cs="標楷體" w:hint="eastAsia"/>
                <w:kern w:val="0"/>
              </w:rPr>
              <w:t>陳述意見或聲請調查證據。</w:t>
            </w:r>
          </w:p>
          <w:p w:rsidR="00FB0B43" w:rsidRPr="00B14D77" w:rsidRDefault="00FB0B43" w:rsidP="00FB0B43">
            <w:pPr>
              <w:snapToGrid w:val="0"/>
              <w:ind w:leftChars="100" w:left="720" w:hangingChars="200" w:hanging="480"/>
              <w:jc w:val="both"/>
              <w:rPr>
                <w:rFonts w:ascii="標楷體" w:eastAsia="標楷體" w:hAnsi="標楷體" w:cs="標楷體"/>
                <w:kern w:val="0"/>
              </w:rPr>
            </w:pPr>
            <w:r w:rsidRPr="00B14D77">
              <w:rPr>
                <w:rFonts w:ascii="標楷體" w:eastAsia="標楷體" w:hAnsi="標楷體" w:cs="標楷體" w:hint="eastAsia"/>
                <w:kern w:val="0"/>
              </w:rPr>
              <w:t>二、參與人以外</w:t>
            </w:r>
            <w:r w:rsidR="008D15A7" w:rsidRPr="008D15A7">
              <w:rPr>
                <w:rFonts w:ascii="標楷體" w:eastAsia="標楷體" w:hAnsi="標楷體" w:cs="標楷體" w:hint="eastAsia"/>
                <w:color w:val="000000" w:themeColor="text1"/>
                <w:kern w:val="0"/>
              </w:rPr>
              <w:t>得爭執犯罪事實</w:t>
            </w:r>
            <w:r w:rsidRPr="00B14D77">
              <w:rPr>
                <w:rFonts w:ascii="標楷體" w:eastAsia="標楷體" w:hAnsi="標楷體" w:cs="標楷體" w:hint="eastAsia"/>
                <w:kern w:val="0"/>
              </w:rPr>
              <w:t>之其他上訴權人，提起第二審上訴爭執犯罪事實</w:t>
            </w:r>
            <w:r>
              <w:rPr>
                <w:rFonts w:ascii="標楷體" w:eastAsia="標楷體" w:hAnsi="標楷體" w:cs="標楷體" w:hint="eastAsia"/>
                <w:kern w:val="0"/>
              </w:rPr>
              <w:t>與沒收參與人財產相關部分</w:t>
            </w:r>
            <w:r w:rsidRPr="00B14D77">
              <w:rPr>
                <w:rFonts w:ascii="標楷體" w:eastAsia="標楷體" w:hAnsi="標楷體" w:cs="標楷體" w:hint="eastAsia"/>
                <w:kern w:val="0"/>
              </w:rPr>
              <w:t>。</w:t>
            </w:r>
          </w:p>
          <w:p w:rsidR="00C64AA6" w:rsidRPr="00B14D77" w:rsidRDefault="00FB0B43" w:rsidP="00FB0B43">
            <w:pPr>
              <w:snapToGrid w:val="0"/>
              <w:ind w:leftChars="100" w:left="720" w:hangingChars="200" w:hanging="480"/>
              <w:jc w:val="both"/>
              <w:rPr>
                <w:rFonts w:ascii="標楷體" w:eastAsia="標楷體" w:hAnsi="標楷體" w:cs="標楷體"/>
                <w:kern w:val="0"/>
              </w:rPr>
            </w:pPr>
            <w:r w:rsidRPr="00B14D77">
              <w:rPr>
                <w:rFonts w:ascii="標楷體" w:eastAsia="標楷體" w:hAnsi="標楷體" w:cs="標楷體" w:hint="eastAsia"/>
                <w:kern w:val="0"/>
              </w:rPr>
              <w:t>三、原審有第四百二十條第一項第一款、第二款、第四款或第五款之情形。</w:t>
            </w:r>
          </w:p>
        </w:tc>
        <w:tc>
          <w:tcPr>
            <w:tcW w:w="1610" w:type="pct"/>
            <w:tcMar>
              <w:left w:w="0" w:type="dxa"/>
              <w:right w:w="0" w:type="dxa"/>
            </w:tcMar>
          </w:tcPr>
          <w:p w:rsidR="00C64AA6" w:rsidRPr="00B14D77" w:rsidRDefault="00C64AA6" w:rsidP="00A3540D">
            <w:pPr>
              <w:snapToGrid w:val="0"/>
              <w:ind w:left="240" w:hanging="240"/>
              <w:jc w:val="both"/>
              <w:rPr>
                <w:rFonts w:ascii="標楷體" w:eastAsia="標楷體" w:hAnsi="標楷體"/>
              </w:rPr>
            </w:pPr>
          </w:p>
        </w:tc>
        <w:tc>
          <w:tcPr>
            <w:tcW w:w="1615" w:type="pct"/>
          </w:tcPr>
          <w:p w:rsidR="00C64AA6" w:rsidRDefault="00FB0B43" w:rsidP="001C70FF">
            <w:pPr>
              <w:pStyle w:val="af"/>
              <w:numPr>
                <w:ilvl w:val="0"/>
                <w:numId w:val="20"/>
              </w:numPr>
              <w:spacing w:line="360" w:lineRule="exact"/>
              <w:ind w:firstLineChars="0"/>
              <w:rPr>
                <w:rFonts w:ascii="標楷體" w:hAnsi="標楷體"/>
                <w:sz w:val="24"/>
                <w:u w:val="single"/>
              </w:rPr>
            </w:pPr>
            <w:r>
              <w:rPr>
                <w:rFonts w:ascii="標楷體" w:hAnsi="標楷體" w:hint="eastAsia"/>
                <w:sz w:val="24"/>
                <w:u w:val="single"/>
              </w:rPr>
              <w:t>本條</w:t>
            </w:r>
            <w:r w:rsidR="00C64AA6" w:rsidRPr="00B14D77">
              <w:rPr>
                <w:rFonts w:ascii="標楷體" w:hAnsi="標楷體" w:hint="eastAsia"/>
                <w:sz w:val="24"/>
                <w:u w:val="single"/>
              </w:rPr>
              <w:t>新增。</w:t>
            </w:r>
          </w:p>
          <w:p w:rsidR="00FB0B43" w:rsidRPr="00FB0B43" w:rsidRDefault="00FB0B43" w:rsidP="001C70FF">
            <w:pPr>
              <w:pStyle w:val="af"/>
              <w:numPr>
                <w:ilvl w:val="0"/>
                <w:numId w:val="20"/>
              </w:numPr>
              <w:spacing w:line="360" w:lineRule="exact"/>
              <w:ind w:firstLineChars="0"/>
              <w:rPr>
                <w:rFonts w:ascii="標楷體" w:hAnsi="標楷體"/>
                <w:sz w:val="24"/>
                <w:u w:val="single"/>
              </w:rPr>
            </w:pPr>
            <w:r w:rsidRPr="00FB0B43">
              <w:rPr>
                <w:rFonts w:ascii="標楷體" w:hAnsi="標楷體" w:hint="eastAsia"/>
                <w:sz w:val="24"/>
              </w:rPr>
              <w:t>被告違法行為存在，為沒收參與人財產前提要件之一。為避免沒收裁判確定後，其所依附之前提即關於被告違法行為之判決，於上訴後，經上訴審法院變更而動搖該沒收裁判之基礎，造成裁判上之矛盾；或沒收裁判涉及多數參與人，僅部分參與人上訴，經上訴審法院變更原裁判結果，致不同審級法院對同一標的之沒收裁判兩歧，非</w:t>
            </w:r>
            <w:r w:rsidR="00AC5863">
              <w:rPr>
                <w:rFonts w:ascii="標楷體" w:hAnsi="標楷體" w:hint="eastAsia"/>
                <w:sz w:val="24"/>
              </w:rPr>
              <w:t>但有</w:t>
            </w:r>
            <w:r w:rsidRPr="00FB0B43">
              <w:rPr>
                <w:rFonts w:ascii="標楷體" w:hAnsi="標楷體" w:hint="eastAsia"/>
                <w:sz w:val="24"/>
              </w:rPr>
              <w:t>損裁判公信力，</w:t>
            </w:r>
            <w:r w:rsidR="00AC5863">
              <w:rPr>
                <w:rFonts w:ascii="標楷體" w:hAnsi="標楷體" w:hint="eastAsia"/>
                <w:sz w:val="24"/>
              </w:rPr>
              <w:t>且滋生</w:t>
            </w:r>
            <w:r w:rsidRPr="00FB0B43">
              <w:rPr>
                <w:rFonts w:ascii="標楷體" w:hAnsi="標楷體" w:hint="eastAsia"/>
                <w:sz w:val="24"/>
              </w:rPr>
              <w:t>沒收裁判之執行</w:t>
            </w:r>
            <w:r w:rsidR="00AC5863">
              <w:rPr>
                <w:rFonts w:ascii="標楷體" w:hAnsi="標楷體" w:hint="eastAsia"/>
                <w:sz w:val="24"/>
              </w:rPr>
              <w:t>上</w:t>
            </w:r>
            <w:r w:rsidRPr="00FB0B43">
              <w:rPr>
                <w:rFonts w:ascii="標楷體" w:hAnsi="標楷體" w:hint="eastAsia"/>
                <w:sz w:val="24"/>
              </w:rPr>
              <w:t>困擾</w:t>
            </w:r>
            <w:r>
              <w:rPr>
                <w:rFonts w:ascii="標楷體" w:hAnsi="標楷體" w:hint="eastAsia"/>
                <w:sz w:val="24"/>
              </w:rPr>
              <w:t>。</w:t>
            </w:r>
            <w:r w:rsidRPr="00FB0B43">
              <w:rPr>
                <w:rFonts w:ascii="標楷體" w:hAnsi="標楷體" w:hint="eastAsia"/>
                <w:kern w:val="0"/>
                <w:sz w:val="24"/>
              </w:rPr>
              <w:t>爰參考</w:t>
            </w:r>
            <w:r w:rsidRPr="00FB0B43">
              <w:rPr>
                <w:rFonts w:ascii="標楷體" w:hAnsi="標楷體" w:hint="eastAsia"/>
                <w:sz w:val="24"/>
              </w:rPr>
              <w:t>日本應急對策法第八條第一項</w:t>
            </w:r>
            <w:r w:rsidRPr="00FB0B43">
              <w:rPr>
                <w:rFonts w:ascii="標楷體" w:hAnsi="標楷體" w:hint="eastAsia"/>
                <w:kern w:val="0"/>
                <w:sz w:val="24"/>
              </w:rPr>
              <w:t>之立法例，增訂本條第一項規定，明定對本案關於違法行為或沒收</w:t>
            </w:r>
            <w:r w:rsidRPr="00FB0B43">
              <w:rPr>
                <w:rFonts w:ascii="標楷體" w:hAnsi="標楷體" w:hint="eastAsia"/>
                <w:kern w:val="0"/>
                <w:sz w:val="24"/>
              </w:rPr>
              <w:lastRenderedPageBreak/>
              <w:t>之裁判上訴者，其效力及於</w:t>
            </w:r>
            <w:r w:rsidR="00AC5863">
              <w:rPr>
                <w:rFonts w:ascii="標楷體" w:hAnsi="標楷體" w:hint="eastAsia"/>
                <w:kern w:val="0"/>
                <w:sz w:val="24"/>
              </w:rPr>
              <w:t>相</w:t>
            </w:r>
            <w:r w:rsidRPr="00FB0B43">
              <w:rPr>
                <w:rFonts w:ascii="標楷體" w:hAnsi="標楷體" w:hint="eastAsia"/>
                <w:kern w:val="0"/>
                <w:sz w:val="24"/>
              </w:rPr>
              <w:t>關之沒收部分。</w:t>
            </w:r>
          </w:p>
          <w:p w:rsidR="00FB0B43" w:rsidRPr="00FB0B43" w:rsidRDefault="00FB0B43" w:rsidP="001C70FF">
            <w:pPr>
              <w:pStyle w:val="af"/>
              <w:numPr>
                <w:ilvl w:val="0"/>
                <w:numId w:val="20"/>
              </w:numPr>
              <w:spacing w:line="360" w:lineRule="exact"/>
              <w:ind w:firstLineChars="0"/>
              <w:rPr>
                <w:rFonts w:ascii="標楷體" w:hAnsi="標楷體"/>
                <w:sz w:val="24"/>
                <w:u w:val="single"/>
              </w:rPr>
            </w:pPr>
            <w:r w:rsidRPr="00FB0B43">
              <w:rPr>
                <w:rFonts w:ascii="標楷體" w:hAnsi="標楷體" w:hint="eastAsia"/>
                <w:sz w:val="24"/>
              </w:rPr>
              <w:t>沒收程序之參與人，為該程序之主體，沒收其財產之判決，亦以其為諭知對象，故參與人本人即為受判決人，依本法自有單獨提起上訴之權利。</w:t>
            </w:r>
            <w:r w:rsidRPr="00FB0B43">
              <w:rPr>
                <w:rFonts w:ascii="標楷體" w:hAnsi="標楷體" w:hint="eastAsia"/>
                <w:kern w:val="0"/>
                <w:sz w:val="24"/>
              </w:rPr>
              <w:t>至其上訴</w:t>
            </w:r>
            <w:r w:rsidR="00725822">
              <w:rPr>
                <w:rFonts w:ascii="標楷體" w:hAnsi="標楷體" w:hint="eastAsia"/>
                <w:kern w:val="0"/>
                <w:sz w:val="24"/>
              </w:rPr>
              <w:t>之效力，是否及於本案中關於違法行為部分之判決，則應適用本法上訴編</w:t>
            </w:r>
            <w:r w:rsidRPr="00FB0B43">
              <w:rPr>
                <w:rFonts w:ascii="標楷體" w:hAnsi="標楷體" w:hint="eastAsia"/>
                <w:kern w:val="0"/>
                <w:sz w:val="24"/>
              </w:rPr>
              <w:t>章之規定，非本條規範之範圍</w:t>
            </w:r>
            <w:r w:rsidRPr="00FB0B43">
              <w:rPr>
                <w:rFonts w:ascii="標楷體" w:hAnsi="標楷體" w:hint="eastAsia"/>
                <w:sz w:val="24"/>
              </w:rPr>
              <w:t>。</w:t>
            </w:r>
          </w:p>
          <w:p w:rsidR="00FB0B43" w:rsidRPr="00FB0B43" w:rsidRDefault="00FB0B43" w:rsidP="001C70FF">
            <w:pPr>
              <w:pStyle w:val="af"/>
              <w:numPr>
                <w:ilvl w:val="0"/>
                <w:numId w:val="20"/>
              </w:numPr>
              <w:spacing w:line="360" w:lineRule="exact"/>
              <w:ind w:firstLineChars="0"/>
              <w:rPr>
                <w:rFonts w:ascii="標楷體" w:hAnsi="標楷體"/>
                <w:sz w:val="24"/>
                <w:u w:val="single"/>
              </w:rPr>
            </w:pPr>
            <w:r w:rsidRPr="00FB0B43">
              <w:rPr>
                <w:rFonts w:ascii="標楷體" w:hAnsi="標楷體" w:hint="eastAsia"/>
                <w:sz w:val="24"/>
              </w:rPr>
              <w:t>刑事本案當事人未提起上訴，即對原判決認定之犯罪事實已不爭執時，為避免法院僅因附隨本案之參與</w:t>
            </w:r>
            <w:r w:rsidR="00AC5863">
              <w:rPr>
                <w:rFonts w:ascii="標楷體" w:hAnsi="標楷體" w:hint="eastAsia"/>
                <w:sz w:val="24"/>
              </w:rPr>
              <w:t>沒收</w:t>
            </w:r>
            <w:r w:rsidRPr="00FB0B43">
              <w:rPr>
                <w:rFonts w:ascii="標楷體" w:hAnsi="標楷體" w:hint="eastAsia"/>
                <w:sz w:val="24"/>
              </w:rPr>
              <w:t>程序參與人提起上訴即重新審查犯罪事實，所造成裁判矛盾或訴訟延滯之結果</w:t>
            </w:r>
            <w:r>
              <w:rPr>
                <w:rFonts w:ascii="標楷體" w:hAnsi="標楷體" w:hint="eastAsia"/>
                <w:sz w:val="24"/>
              </w:rPr>
              <w:t>。</w:t>
            </w:r>
            <w:r w:rsidRPr="00FB0B43">
              <w:rPr>
                <w:rFonts w:ascii="標楷體" w:hAnsi="標楷體" w:hint="eastAsia"/>
                <w:kern w:val="0"/>
                <w:sz w:val="24"/>
              </w:rPr>
              <w:t>爰參考德國刑事訴訟法第四百三十七條第一項前段之立法例，增訂本條第二項前段規定。</w:t>
            </w:r>
          </w:p>
          <w:p w:rsidR="00C64AA6" w:rsidRPr="003B0F21" w:rsidRDefault="00FB0B43" w:rsidP="001C70FF">
            <w:pPr>
              <w:pStyle w:val="af"/>
              <w:numPr>
                <w:ilvl w:val="0"/>
                <w:numId w:val="20"/>
              </w:numPr>
              <w:spacing w:line="360" w:lineRule="exact"/>
              <w:ind w:firstLineChars="0"/>
              <w:rPr>
                <w:rFonts w:ascii="標楷體" w:hAnsi="標楷體"/>
                <w:sz w:val="24"/>
                <w:u w:val="single"/>
              </w:rPr>
            </w:pPr>
            <w:r w:rsidRPr="00FB0B43">
              <w:rPr>
                <w:rFonts w:ascii="標楷體" w:hAnsi="標楷體" w:hint="eastAsia"/>
                <w:sz w:val="24"/>
              </w:rPr>
              <w:t>惟因非可歸責於參與人之事由，致其未能於原審就犯罪事實中</w:t>
            </w:r>
            <w:r w:rsidRPr="00FB0B43">
              <w:rPr>
                <w:rFonts w:ascii="標楷體" w:hAnsi="標楷體" w:cs="標楷體" w:hint="eastAsia"/>
                <w:kern w:val="0"/>
                <w:sz w:val="24"/>
              </w:rPr>
              <w:t>與沒收其財產相關部分</w:t>
            </w:r>
            <w:r w:rsidRPr="00FB0B43">
              <w:rPr>
                <w:rFonts w:ascii="標楷體" w:hAnsi="標楷體" w:hint="eastAsia"/>
                <w:sz w:val="24"/>
              </w:rPr>
              <w:t>陳述意見、聲請調查證據，自不宜遽而剝奪其於上訴審程序爭執該事實之權利；又參與人以外之其他上訴權人若亦提起上訴，且依法得爭執並已爭執沒收前提之犯罪事實中</w:t>
            </w:r>
            <w:r w:rsidRPr="00FB0B43">
              <w:rPr>
                <w:rFonts w:ascii="標楷體" w:hAnsi="標楷體" w:cs="標楷體" w:hint="eastAsia"/>
                <w:kern w:val="0"/>
                <w:sz w:val="24"/>
              </w:rPr>
              <w:t>與沒收其財產相關部分</w:t>
            </w:r>
            <w:r w:rsidRPr="00FB0B43">
              <w:rPr>
                <w:rFonts w:ascii="標楷體" w:hAnsi="標楷體" w:hint="eastAsia"/>
                <w:sz w:val="24"/>
              </w:rPr>
              <w:t>者，即無限制參與人爭</w:t>
            </w:r>
            <w:r w:rsidRPr="00FB0B43">
              <w:rPr>
                <w:rFonts w:ascii="標楷體" w:hAnsi="標楷體" w:hint="eastAsia"/>
                <w:sz w:val="24"/>
              </w:rPr>
              <w:lastRenderedPageBreak/>
              <w:t>執該</w:t>
            </w:r>
            <w:r w:rsidRPr="00FB0B43">
              <w:rPr>
                <w:rFonts w:ascii="標楷體" w:hAnsi="標楷體" w:hint="eastAsia"/>
                <w:kern w:val="0"/>
                <w:sz w:val="24"/>
              </w:rPr>
              <w:t>事實之必要</w:t>
            </w:r>
            <w:r w:rsidRPr="00FB0B43">
              <w:rPr>
                <w:rFonts w:ascii="標楷體" w:hAnsi="標楷體" w:hint="eastAsia"/>
                <w:sz w:val="24"/>
              </w:rPr>
              <w:t>；另原審若有本法第四百二十條第一項第一款、第二款、第四款或第五款各款情形，已明顯影響原審判決關於犯罪事實之認定時，基於公平正義之維護，亦不宜限制參與人爭執該事實之權利</w:t>
            </w:r>
            <w:r>
              <w:rPr>
                <w:rFonts w:ascii="標楷體" w:hAnsi="標楷體" w:hint="eastAsia"/>
                <w:sz w:val="24"/>
              </w:rPr>
              <w:t>。</w:t>
            </w:r>
            <w:r w:rsidRPr="00FB0B43">
              <w:rPr>
                <w:rFonts w:ascii="標楷體" w:hAnsi="標楷體" w:hint="eastAsia"/>
                <w:kern w:val="0"/>
                <w:sz w:val="24"/>
              </w:rPr>
              <w:t>爰參考德國刑事訴訟法第四百三十七條第一項前段、第二項</w:t>
            </w:r>
            <w:r w:rsidRPr="00FB0B43">
              <w:rPr>
                <w:rFonts w:ascii="標楷體" w:hAnsi="標楷體" w:hint="eastAsia"/>
                <w:sz w:val="24"/>
              </w:rPr>
              <w:t>之立法例，增訂本條第二項但書規定。</w:t>
            </w:r>
          </w:p>
        </w:tc>
      </w:tr>
      <w:tr w:rsidR="00C64AA6" w:rsidRPr="003873F6" w:rsidTr="00111886">
        <w:trPr>
          <w:trHeight w:val="1"/>
        </w:trPr>
        <w:tc>
          <w:tcPr>
            <w:tcW w:w="1775" w:type="pct"/>
            <w:tcMar>
              <w:left w:w="0" w:type="dxa"/>
              <w:right w:w="0" w:type="dxa"/>
            </w:tcMar>
          </w:tcPr>
          <w:p w:rsidR="00C64AA6" w:rsidRPr="00B14D77" w:rsidRDefault="00BA7892" w:rsidP="00A3540D">
            <w:pPr>
              <w:snapToGrid w:val="0"/>
              <w:ind w:left="240" w:hanging="240"/>
              <w:jc w:val="both"/>
              <w:rPr>
                <w:rFonts w:ascii="標楷體" w:eastAsia="標楷體" w:hAnsi="標楷體" w:cs="標楷體"/>
                <w:kern w:val="0"/>
              </w:rPr>
            </w:pPr>
            <w:r>
              <w:rPr>
                <w:rFonts w:ascii="標楷體" w:eastAsia="標楷體" w:hAnsi="標楷體" w:cs="標楷體" w:hint="eastAsia"/>
                <w:kern w:val="0"/>
              </w:rPr>
              <w:lastRenderedPageBreak/>
              <w:t>第四百五十五條之二十八</w:t>
            </w:r>
            <w:r w:rsidR="00C64AA6" w:rsidRPr="00B14D77">
              <w:rPr>
                <w:rFonts w:ascii="標楷體" w:eastAsia="標楷體" w:hAnsi="標楷體" w:cs="標楷體"/>
                <w:kern w:val="0"/>
              </w:rPr>
              <w:t xml:space="preserve">  </w:t>
            </w:r>
            <w:r w:rsidR="00C64AA6" w:rsidRPr="00B14D77">
              <w:rPr>
                <w:rFonts w:ascii="標楷體" w:eastAsia="標楷體" w:hAnsi="標楷體" w:cs="標楷體" w:hint="eastAsia"/>
                <w:kern w:val="0"/>
              </w:rPr>
              <w:t>參與沒收程序之審判、上訴及抗告，除本編有特別規定外，準用第二編第一章第三節、第三編及第四編之規定。</w:t>
            </w:r>
          </w:p>
        </w:tc>
        <w:tc>
          <w:tcPr>
            <w:tcW w:w="1610" w:type="pct"/>
            <w:tcMar>
              <w:left w:w="0" w:type="dxa"/>
              <w:right w:w="0" w:type="dxa"/>
            </w:tcMar>
          </w:tcPr>
          <w:p w:rsidR="00C64AA6" w:rsidRPr="00B14D77" w:rsidRDefault="00C64AA6" w:rsidP="00A3540D">
            <w:pPr>
              <w:snapToGrid w:val="0"/>
              <w:ind w:left="240" w:hanging="240"/>
              <w:jc w:val="both"/>
              <w:rPr>
                <w:rFonts w:ascii="標楷體" w:eastAsia="標楷體" w:hAnsi="標楷體"/>
              </w:rPr>
            </w:pPr>
          </w:p>
        </w:tc>
        <w:tc>
          <w:tcPr>
            <w:tcW w:w="1615" w:type="pct"/>
          </w:tcPr>
          <w:p w:rsidR="00C64AA6" w:rsidRDefault="00BA7892" w:rsidP="001C70FF">
            <w:pPr>
              <w:pStyle w:val="a7"/>
              <w:numPr>
                <w:ilvl w:val="0"/>
                <w:numId w:val="21"/>
              </w:numPr>
              <w:kinsoku w:val="0"/>
              <w:ind w:leftChars="0"/>
              <w:jc w:val="both"/>
              <w:rPr>
                <w:rFonts w:ascii="標楷體" w:eastAsia="標楷體" w:hAnsi="標楷體"/>
                <w:szCs w:val="24"/>
                <w:u w:val="single"/>
              </w:rPr>
            </w:pPr>
            <w:r>
              <w:rPr>
                <w:rFonts w:ascii="標楷體" w:eastAsia="標楷體" w:hAnsi="標楷體" w:hint="eastAsia"/>
                <w:szCs w:val="24"/>
                <w:u w:val="single"/>
              </w:rPr>
              <w:t>本條</w:t>
            </w:r>
            <w:r w:rsidR="00C64AA6" w:rsidRPr="00B14D77">
              <w:rPr>
                <w:rFonts w:ascii="標楷體" w:eastAsia="標楷體" w:hAnsi="標楷體" w:hint="eastAsia"/>
                <w:szCs w:val="24"/>
                <w:u w:val="single"/>
              </w:rPr>
              <w:t>新增。</w:t>
            </w:r>
          </w:p>
          <w:p w:rsidR="00C64AA6" w:rsidRPr="00B14D77" w:rsidRDefault="00BA7892" w:rsidP="001C70FF">
            <w:pPr>
              <w:pStyle w:val="a7"/>
              <w:numPr>
                <w:ilvl w:val="0"/>
                <w:numId w:val="21"/>
              </w:numPr>
              <w:kinsoku w:val="0"/>
              <w:ind w:leftChars="0"/>
              <w:jc w:val="both"/>
              <w:rPr>
                <w:rFonts w:ascii="標楷體" w:eastAsia="標楷體" w:hAnsi="標楷體"/>
                <w:szCs w:val="24"/>
                <w:u w:val="single"/>
              </w:rPr>
            </w:pPr>
            <w:r w:rsidRPr="002514C2">
              <w:rPr>
                <w:rFonts w:ascii="標楷體" w:eastAsia="標楷體" w:hAnsi="標楷體" w:hint="eastAsia"/>
              </w:rPr>
              <w:t>本法</w:t>
            </w:r>
            <w:r w:rsidRPr="002514C2">
              <w:rPr>
                <w:rFonts w:ascii="標楷體" w:eastAsia="標楷體" w:hAnsi="標楷體" w:hint="eastAsia"/>
                <w:szCs w:val="24"/>
              </w:rPr>
              <w:t>第二編第一章第三節審判、第三編上訴及第四編抗告之規定，除本編有特別規定外</w:t>
            </w:r>
            <w:r w:rsidRPr="002514C2">
              <w:rPr>
                <w:rFonts w:ascii="標楷體" w:eastAsia="標楷體" w:hAnsi="標楷體" w:hint="eastAsia"/>
              </w:rPr>
              <w:t>，關於審判期日之進行方式、宣示判決之規定、上訴程序及抗告等均應予準用，</w:t>
            </w:r>
            <w:r w:rsidRPr="002514C2">
              <w:rPr>
                <w:rFonts w:ascii="標楷體" w:eastAsia="標楷體" w:hAnsi="標楷體" w:hint="eastAsia"/>
                <w:szCs w:val="24"/>
              </w:rPr>
              <w:t>爰</w:t>
            </w:r>
            <w:r w:rsidRPr="002514C2">
              <w:rPr>
                <w:rFonts w:ascii="標楷體" w:eastAsia="標楷體" w:hAnsi="標楷體" w:hint="eastAsia"/>
              </w:rPr>
              <w:t>增訂本條規定。</w:t>
            </w:r>
          </w:p>
        </w:tc>
      </w:tr>
      <w:tr w:rsidR="00C64AA6" w:rsidRPr="003873F6" w:rsidTr="00111886">
        <w:trPr>
          <w:trHeight w:val="1"/>
        </w:trPr>
        <w:tc>
          <w:tcPr>
            <w:tcW w:w="1775" w:type="pct"/>
            <w:tcMar>
              <w:left w:w="0" w:type="dxa"/>
              <w:right w:w="0" w:type="dxa"/>
            </w:tcMar>
          </w:tcPr>
          <w:p w:rsidR="00C64AA6" w:rsidRPr="00B14D77" w:rsidRDefault="00663A89" w:rsidP="00A3540D">
            <w:pPr>
              <w:snapToGrid w:val="0"/>
              <w:ind w:left="240" w:hanging="240"/>
              <w:jc w:val="both"/>
              <w:rPr>
                <w:rFonts w:ascii="標楷體" w:eastAsia="標楷體" w:hAnsi="標楷體" w:cs="標楷體"/>
                <w:kern w:val="0"/>
              </w:rPr>
            </w:pPr>
            <w:r>
              <w:rPr>
                <w:rFonts w:ascii="標楷體" w:eastAsia="標楷體" w:hAnsi="標楷體" w:cs="標楷體" w:hint="eastAsia"/>
                <w:kern w:val="0"/>
              </w:rPr>
              <w:t>第四百五十五條之二</w:t>
            </w:r>
            <w:r w:rsidR="00C64AA6" w:rsidRPr="00B14D77">
              <w:rPr>
                <w:rFonts w:ascii="標楷體" w:eastAsia="標楷體" w:hAnsi="標楷體" w:cs="標楷體" w:hint="eastAsia"/>
                <w:kern w:val="0"/>
              </w:rPr>
              <w:t>十</w:t>
            </w:r>
            <w:r>
              <w:rPr>
                <w:rFonts w:ascii="標楷體" w:eastAsia="標楷體" w:hAnsi="標楷體" w:cs="標楷體" w:hint="eastAsia"/>
                <w:kern w:val="0"/>
              </w:rPr>
              <w:t>九</w:t>
            </w:r>
            <w:r w:rsidR="00C64AA6" w:rsidRPr="00B14D77">
              <w:rPr>
                <w:rFonts w:ascii="標楷體" w:eastAsia="標楷體" w:hAnsi="標楷體" w:cs="標楷體"/>
                <w:kern w:val="0"/>
              </w:rPr>
              <w:t xml:space="preserve"> </w:t>
            </w:r>
            <w:r w:rsidR="00C64AA6" w:rsidRPr="004D158F">
              <w:rPr>
                <w:rFonts w:ascii="標楷體" w:eastAsia="標楷體" w:hAnsi="標楷體" w:cs="標楷體"/>
                <w:kern w:val="0"/>
              </w:rPr>
              <w:t xml:space="preserve"> </w:t>
            </w:r>
            <w:r w:rsidR="00C64AA6" w:rsidRPr="004D158F">
              <w:rPr>
                <w:rFonts w:ascii="標楷體" w:eastAsia="標楷體" w:hAnsi="標楷體" w:cs="標楷體" w:hint="eastAsia"/>
                <w:kern w:val="0"/>
              </w:rPr>
              <w:t>經</w:t>
            </w:r>
            <w:r w:rsidR="000A2AA0" w:rsidRPr="004D158F">
              <w:rPr>
                <w:rFonts w:ascii="標楷體" w:eastAsia="標楷體" w:hAnsi="標楷體" w:cs="標楷體" w:hint="eastAsia"/>
                <w:kern w:val="0"/>
              </w:rPr>
              <w:t>法院判決</w:t>
            </w:r>
            <w:r w:rsidR="00C64AA6" w:rsidRPr="004D158F">
              <w:rPr>
                <w:rFonts w:ascii="標楷體" w:eastAsia="標楷體" w:hAnsi="標楷體" w:cs="標楷體" w:hint="eastAsia"/>
                <w:kern w:val="0"/>
              </w:rPr>
              <w:t>沒收財產</w:t>
            </w:r>
            <w:r w:rsidR="000A2AA0" w:rsidRPr="004D158F">
              <w:rPr>
                <w:rFonts w:ascii="標楷體" w:eastAsia="標楷體" w:hAnsi="標楷體" w:cs="標楷體" w:hint="eastAsia"/>
                <w:kern w:val="0"/>
              </w:rPr>
              <w:t>確定</w:t>
            </w:r>
            <w:r w:rsidR="00C64AA6" w:rsidRPr="004D158F">
              <w:rPr>
                <w:rFonts w:ascii="標楷體" w:eastAsia="標楷體" w:hAnsi="標楷體" w:cs="標楷體" w:hint="eastAsia"/>
                <w:kern w:val="0"/>
              </w:rPr>
              <w:t>之</w:t>
            </w:r>
            <w:r w:rsidR="00C64AA6" w:rsidRPr="00B14D77">
              <w:rPr>
                <w:rFonts w:ascii="標楷體" w:eastAsia="標楷體" w:hAnsi="標楷體" w:cs="標楷體" w:hint="eastAsia"/>
                <w:kern w:val="0"/>
              </w:rPr>
              <w:t>第三人，非因過失，未參與沒收程序者，得於知悉沒收確定判決</w:t>
            </w:r>
            <w:r w:rsidR="00775DE3">
              <w:rPr>
                <w:rFonts w:ascii="標楷體" w:eastAsia="標楷體" w:hAnsi="標楷體" w:cs="標楷體" w:hint="eastAsia"/>
                <w:kern w:val="0"/>
              </w:rPr>
              <w:t>之日起三十日內，向諭知該判決之法院聲請撤銷。但自判決確定後已逾</w:t>
            </w:r>
            <w:r w:rsidR="00775DE3" w:rsidRPr="004D158F">
              <w:rPr>
                <w:rFonts w:ascii="標楷體" w:eastAsia="標楷體" w:hAnsi="標楷體" w:cs="標楷體" w:hint="eastAsia"/>
                <w:kern w:val="0"/>
              </w:rPr>
              <w:t>五</w:t>
            </w:r>
            <w:r w:rsidR="00775DE3">
              <w:rPr>
                <w:rFonts w:ascii="標楷體" w:eastAsia="標楷體" w:hAnsi="標楷體" w:cs="標楷體" w:hint="eastAsia"/>
                <w:kern w:val="0"/>
              </w:rPr>
              <w:t>年</w:t>
            </w:r>
            <w:r w:rsidR="00C64AA6" w:rsidRPr="00B14D77">
              <w:rPr>
                <w:rFonts w:ascii="標楷體" w:eastAsia="標楷體" w:hAnsi="標楷體" w:cs="標楷體" w:hint="eastAsia"/>
                <w:kern w:val="0"/>
              </w:rPr>
              <w:t>者，不得為之。</w:t>
            </w:r>
          </w:p>
          <w:p w:rsidR="00C64AA6" w:rsidRPr="00B14D77" w:rsidRDefault="00C64AA6" w:rsidP="00A3540D">
            <w:pPr>
              <w:snapToGrid w:val="0"/>
              <w:ind w:leftChars="100" w:left="240" w:firstLineChars="200" w:firstLine="480"/>
              <w:jc w:val="both"/>
              <w:rPr>
                <w:rFonts w:ascii="標楷體" w:eastAsia="標楷體" w:hAnsi="標楷體" w:cs="標楷體"/>
                <w:kern w:val="0"/>
              </w:rPr>
            </w:pPr>
            <w:r w:rsidRPr="00B14D77">
              <w:rPr>
                <w:rFonts w:ascii="標楷體" w:eastAsia="標楷體" w:hAnsi="標楷體" w:cs="標楷體" w:hint="eastAsia"/>
                <w:kern w:val="0"/>
              </w:rPr>
              <w:t>前項聲請，應以書面記載下列事項：</w:t>
            </w:r>
          </w:p>
          <w:p w:rsidR="00C64AA6" w:rsidRPr="00B14D77" w:rsidRDefault="00C64AA6" w:rsidP="00A3540D">
            <w:pPr>
              <w:snapToGrid w:val="0"/>
              <w:ind w:leftChars="100" w:left="240"/>
              <w:jc w:val="both"/>
              <w:rPr>
                <w:rFonts w:ascii="標楷體" w:eastAsia="標楷體" w:hAnsi="標楷體" w:cs="標楷體"/>
                <w:kern w:val="0"/>
              </w:rPr>
            </w:pPr>
            <w:r w:rsidRPr="00B14D77">
              <w:rPr>
                <w:rFonts w:ascii="標楷體" w:eastAsia="標楷體" w:hAnsi="標楷體" w:cs="標楷體" w:hint="eastAsia"/>
                <w:kern w:val="0"/>
              </w:rPr>
              <w:t>一、本案案由。</w:t>
            </w:r>
          </w:p>
          <w:p w:rsidR="00C64AA6" w:rsidRPr="00B14D77" w:rsidRDefault="00C64AA6" w:rsidP="00A3540D">
            <w:pPr>
              <w:snapToGrid w:val="0"/>
              <w:ind w:leftChars="100" w:left="720" w:hangingChars="200" w:hanging="480"/>
              <w:jc w:val="both"/>
              <w:rPr>
                <w:rFonts w:ascii="標楷體" w:eastAsia="標楷體" w:hAnsi="標楷體" w:cs="標楷體"/>
                <w:kern w:val="0"/>
              </w:rPr>
            </w:pPr>
            <w:r w:rsidRPr="00B14D77">
              <w:rPr>
                <w:rFonts w:ascii="標楷體" w:eastAsia="標楷體" w:hAnsi="標楷體" w:cs="標楷體" w:hint="eastAsia"/>
                <w:kern w:val="0"/>
              </w:rPr>
              <w:t>二、聲請撤銷宣告沒收判決之理由及其證據。</w:t>
            </w:r>
          </w:p>
          <w:p w:rsidR="00C64AA6" w:rsidRPr="00B14D77" w:rsidRDefault="00C64AA6" w:rsidP="00A3540D">
            <w:pPr>
              <w:snapToGrid w:val="0"/>
              <w:ind w:leftChars="100" w:left="240"/>
              <w:jc w:val="both"/>
              <w:rPr>
                <w:rFonts w:ascii="標楷體" w:eastAsia="標楷體" w:hAnsi="標楷體" w:cs="標楷體"/>
                <w:kern w:val="0"/>
              </w:rPr>
            </w:pPr>
            <w:r w:rsidRPr="00B14D77">
              <w:rPr>
                <w:rFonts w:ascii="標楷體" w:eastAsia="標楷體" w:hAnsi="標楷體" w:cs="標楷體" w:hint="eastAsia"/>
                <w:kern w:val="0"/>
              </w:rPr>
              <w:t>三、遵守不變期間之證據。</w:t>
            </w:r>
          </w:p>
        </w:tc>
        <w:tc>
          <w:tcPr>
            <w:tcW w:w="1610" w:type="pct"/>
            <w:tcMar>
              <w:left w:w="0" w:type="dxa"/>
              <w:right w:w="0" w:type="dxa"/>
            </w:tcMar>
          </w:tcPr>
          <w:p w:rsidR="00C64AA6" w:rsidRPr="00B14D77" w:rsidRDefault="00C64AA6" w:rsidP="00A3540D">
            <w:pPr>
              <w:snapToGrid w:val="0"/>
              <w:ind w:left="240" w:hanging="240"/>
              <w:jc w:val="both"/>
              <w:rPr>
                <w:rFonts w:ascii="標楷體" w:eastAsia="標楷體" w:hAnsi="標楷體"/>
              </w:rPr>
            </w:pPr>
          </w:p>
        </w:tc>
        <w:tc>
          <w:tcPr>
            <w:tcW w:w="1615" w:type="pct"/>
          </w:tcPr>
          <w:p w:rsidR="00C64AA6" w:rsidRDefault="00663A89" w:rsidP="001C70FF">
            <w:pPr>
              <w:pStyle w:val="af"/>
              <w:numPr>
                <w:ilvl w:val="0"/>
                <w:numId w:val="22"/>
              </w:numPr>
              <w:spacing w:line="360" w:lineRule="exact"/>
              <w:ind w:firstLineChars="0"/>
              <w:rPr>
                <w:rFonts w:ascii="標楷體" w:hAnsi="標楷體"/>
                <w:sz w:val="24"/>
                <w:u w:val="single"/>
              </w:rPr>
            </w:pPr>
            <w:r>
              <w:rPr>
                <w:rFonts w:ascii="標楷體" w:hAnsi="標楷體" w:hint="eastAsia"/>
                <w:sz w:val="24"/>
                <w:u w:val="single"/>
              </w:rPr>
              <w:t>本條</w:t>
            </w:r>
            <w:r w:rsidR="00C64AA6" w:rsidRPr="00B14D77">
              <w:rPr>
                <w:rFonts w:ascii="標楷體" w:hAnsi="標楷體" w:hint="eastAsia"/>
                <w:sz w:val="24"/>
                <w:u w:val="single"/>
              </w:rPr>
              <w:t>新增。</w:t>
            </w:r>
          </w:p>
          <w:p w:rsidR="004B1A70" w:rsidRPr="004B1A70" w:rsidRDefault="004B1A70" w:rsidP="001C70FF">
            <w:pPr>
              <w:pStyle w:val="af"/>
              <w:numPr>
                <w:ilvl w:val="0"/>
                <w:numId w:val="22"/>
              </w:numPr>
              <w:spacing w:line="360" w:lineRule="exact"/>
              <w:ind w:firstLineChars="0"/>
              <w:rPr>
                <w:rFonts w:ascii="標楷體" w:hAnsi="標楷體"/>
                <w:sz w:val="24"/>
                <w:u w:val="single"/>
              </w:rPr>
            </w:pPr>
            <w:r w:rsidRPr="004B1A70">
              <w:rPr>
                <w:rFonts w:ascii="標楷體" w:hAnsi="標楷體" w:hint="eastAsia"/>
                <w:sz w:val="24"/>
              </w:rPr>
              <w:t>沒收第三人財產，應遵循正當程序，對該第三人踐行合法通知，使其有參與沒收程序，陳述意見、行使防禦權之機會後，始得為之。倘未經第三人參與程序，即裁判沒收其財產確定，而該第三人未參與程序係因不可歸責之事由者，因裁判前未提供該第三人合法之程序保障，不符合憲法關於正當程序之要求，自應有容許其回復權利之適當機制</w:t>
            </w:r>
            <w:r>
              <w:rPr>
                <w:rFonts w:ascii="標楷體" w:hAnsi="標楷體" w:hint="eastAsia"/>
                <w:sz w:val="24"/>
              </w:rPr>
              <w:t>。</w:t>
            </w:r>
            <w:r w:rsidRPr="004B1A70">
              <w:rPr>
                <w:rFonts w:ascii="標楷體" w:hAnsi="標楷體" w:hint="eastAsia"/>
                <w:kern w:val="0"/>
                <w:sz w:val="24"/>
              </w:rPr>
              <w:t>爰參考德國刑事訴訟</w:t>
            </w:r>
            <w:r w:rsidRPr="004B1A70">
              <w:rPr>
                <w:rFonts w:ascii="標楷體" w:hAnsi="標楷體" w:hint="eastAsia"/>
                <w:kern w:val="0"/>
                <w:sz w:val="24"/>
              </w:rPr>
              <w:lastRenderedPageBreak/>
              <w:t>法第四百三十九條第一項及第二項、</w:t>
            </w:r>
            <w:r w:rsidRPr="004B1A70">
              <w:rPr>
                <w:rFonts w:ascii="標楷體" w:hAnsi="標楷體" w:hint="eastAsia"/>
                <w:sz w:val="24"/>
              </w:rPr>
              <w:t>日本應急對策法第十三條第一項之立法</w:t>
            </w:r>
            <w:r w:rsidRPr="004B1A70">
              <w:rPr>
                <w:rFonts w:ascii="標楷體" w:hAnsi="標楷體" w:hint="eastAsia"/>
                <w:kern w:val="0"/>
                <w:sz w:val="24"/>
              </w:rPr>
              <w:t>例，增訂本條第一</w:t>
            </w:r>
            <w:r w:rsidRPr="004B1A70">
              <w:rPr>
                <w:rFonts w:ascii="標楷體" w:hAnsi="標楷體" w:cs="標楷體" w:hint="eastAsia"/>
                <w:kern w:val="0"/>
                <w:sz w:val="24"/>
              </w:rPr>
              <w:t>項規定</w:t>
            </w:r>
            <w:r w:rsidRPr="004B1A70">
              <w:rPr>
                <w:rFonts w:ascii="標楷體" w:cs="標楷體" w:hint="eastAsia"/>
                <w:kern w:val="0"/>
                <w:sz w:val="24"/>
              </w:rPr>
              <w:t>，以保障被沒收財產之第三人權益，並</w:t>
            </w:r>
            <w:r w:rsidR="00B76709" w:rsidRPr="005979D0">
              <w:rPr>
                <w:rFonts w:ascii="標楷體" w:cs="標楷體" w:hint="eastAsia"/>
                <w:kern w:val="0"/>
                <w:sz w:val="24"/>
              </w:rPr>
              <w:t>限制</w:t>
            </w:r>
            <w:r w:rsidR="007430E3" w:rsidRPr="005979D0">
              <w:rPr>
                <w:rFonts w:ascii="標楷體" w:cs="標楷體" w:hint="eastAsia"/>
                <w:kern w:val="0"/>
                <w:sz w:val="24"/>
              </w:rPr>
              <w:t>其權利行使</w:t>
            </w:r>
            <w:r w:rsidR="006909FB" w:rsidRPr="005979D0">
              <w:rPr>
                <w:rFonts w:ascii="標楷體" w:cs="標楷體" w:hint="eastAsia"/>
                <w:kern w:val="0"/>
                <w:sz w:val="24"/>
              </w:rPr>
              <w:t>之</w:t>
            </w:r>
            <w:r w:rsidR="007430E3" w:rsidRPr="005979D0">
              <w:rPr>
                <w:rFonts w:ascii="標楷體" w:cs="標楷體" w:hint="eastAsia"/>
                <w:kern w:val="0"/>
                <w:sz w:val="24"/>
              </w:rPr>
              <w:t>期間</w:t>
            </w:r>
            <w:r w:rsidRPr="004B1A70">
              <w:rPr>
                <w:rFonts w:ascii="標楷體" w:cs="標楷體" w:hint="eastAsia"/>
                <w:kern w:val="0"/>
                <w:sz w:val="24"/>
              </w:rPr>
              <w:t>，以兼顧法秩序之安定</w:t>
            </w:r>
            <w:r w:rsidRPr="004B1A70">
              <w:rPr>
                <w:rFonts w:ascii="標楷體" w:hAnsi="標楷體" w:cs="標楷體" w:hint="eastAsia"/>
                <w:kern w:val="0"/>
                <w:sz w:val="24"/>
              </w:rPr>
              <w:t>。</w:t>
            </w:r>
          </w:p>
          <w:p w:rsidR="00C64AA6" w:rsidRPr="004B1A70" w:rsidRDefault="004B1A70" w:rsidP="001C70FF">
            <w:pPr>
              <w:pStyle w:val="af"/>
              <w:numPr>
                <w:ilvl w:val="0"/>
                <w:numId w:val="22"/>
              </w:numPr>
              <w:spacing w:line="360" w:lineRule="exact"/>
              <w:ind w:firstLineChars="0"/>
              <w:rPr>
                <w:rFonts w:ascii="標楷體" w:hAnsi="標楷體"/>
                <w:sz w:val="24"/>
                <w:u w:val="single"/>
              </w:rPr>
            </w:pPr>
            <w:r w:rsidRPr="004B1A70">
              <w:rPr>
                <w:rFonts w:ascii="標楷體" w:hAnsi="標楷體" w:hint="eastAsia"/>
                <w:sz w:val="24"/>
              </w:rPr>
              <w:t>為確實審核</w:t>
            </w:r>
            <w:r w:rsidRPr="004B1A70">
              <w:rPr>
                <w:rFonts w:ascii="標楷體" w:cs="標楷體" w:hint="eastAsia"/>
                <w:kern w:val="0"/>
                <w:sz w:val="24"/>
              </w:rPr>
              <w:t>撤銷沒收第三人財產確定判決</w:t>
            </w:r>
            <w:r w:rsidRPr="004B1A70">
              <w:rPr>
                <w:rFonts w:ascii="標楷體" w:hAnsi="標楷體" w:hint="eastAsia"/>
                <w:sz w:val="24"/>
              </w:rPr>
              <w:t>之聲請，要件是否具備，其</w:t>
            </w:r>
            <w:r w:rsidRPr="004B1A70">
              <w:rPr>
                <w:rFonts w:ascii="標楷體" w:hAnsi="標楷體" w:hint="eastAsia"/>
                <w:kern w:val="0"/>
                <w:sz w:val="24"/>
              </w:rPr>
              <w:t>聲請之程式，自宜有所規範</w:t>
            </w:r>
            <w:r>
              <w:rPr>
                <w:rFonts w:ascii="標楷體" w:hAnsi="標楷體" w:hint="eastAsia"/>
                <w:sz w:val="24"/>
              </w:rPr>
              <w:t>。</w:t>
            </w:r>
            <w:r w:rsidRPr="004B1A70">
              <w:rPr>
                <w:rFonts w:ascii="標楷體" w:hAnsi="標楷體" w:hint="eastAsia"/>
                <w:kern w:val="0"/>
                <w:sz w:val="24"/>
              </w:rPr>
              <w:t>爰參考</w:t>
            </w:r>
            <w:r w:rsidRPr="004B1A70">
              <w:rPr>
                <w:rFonts w:ascii="標楷體" w:hAnsi="標楷體" w:hint="eastAsia"/>
                <w:sz w:val="24"/>
              </w:rPr>
              <w:t>日本應急對策法第十三條第二項之規定，增訂本條第二項。</w:t>
            </w:r>
          </w:p>
        </w:tc>
      </w:tr>
      <w:tr w:rsidR="00C64AA6" w:rsidRPr="003873F6" w:rsidTr="00111886">
        <w:trPr>
          <w:trHeight w:val="1"/>
        </w:trPr>
        <w:tc>
          <w:tcPr>
            <w:tcW w:w="1775" w:type="pct"/>
            <w:tcMar>
              <w:left w:w="0" w:type="dxa"/>
              <w:right w:w="0" w:type="dxa"/>
            </w:tcMar>
          </w:tcPr>
          <w:p w:rsidR="00C64AA6" w:rsidRPr="00B14D77" w:rsidRDefault="007A5950" w:rsidP="00A3540D">
            <w:pPr>
              <w:snapToGrid w:val="0"/>
              <w:ind w:left="240" w:hanging="240"/>
              <w:jc w:val="both"/>
              <w:rPr>
                <w:rFonts w:ascii="標楷體" w:eastAsia="標楷體" w:hAnsi="標楷體" w:cs="標楷體"/>
                <w:kern w:val="0"/>
              </w:rPr>
            </w:pPr>
            <w:r>
              <w:rPr>
                <w:rFonts w:ascii="標楷體" w:eastAsia="標楷體" w:hAnsi="標楷體" w:hint="eastAsia"/>
                <w:kern w:val="0"/>
              </w:rPr>
              <w:lastRenderedPageBreak/>
              <w:t>第四百五十五條之三十</w:t>
            </w:r>
            <w:r w:rsidR="00C64AA6" w:rsidRPr="00B14D77">
              <w:rPr>
                <w:rFonts w:ascii="標楷體" w:eastAsia="標楷體" w:hAnsi="標楷體"/>
                <w:kern w:val="0"/>
              </w:rPr>
              <w:t xml:space="preserve">  </w:t>
            </w:r>
            <w:r w:rsidR="00C64AA6" w:rsidRPr="00B14D77">
              <w:rPr>
                <w:rFonts w:ascii="標楷體" w:eastAsia="標楷體" w:hAnsi="標楷體" w:hint="eastAsia"/>
                <w:kern w:val="0"/>
              </w:rPr>
              <w:t>聲請撤銷沒收確定判決，無停止執行之效力。但管轄法院之檢察官於撤銷沒收確定判決之裁定前，得命停止。</w:t>
            </w:r>
          </w:p>
        </w:tc>
        <w:tc>
          <w:tcPr>
            <w:tcW w:w="1610" w:type="pct"/>
            <w:tcMar>
              <w:left w:w="0" w:type="dxa"/>
              <w:right w:w="0" w:type="dxa"/>
            </w:tcMar>
          </w:tcPr>
          <w:p w:rsidR="00C64AA6" w:rsidRPr="00B14D77" w:rsidRDefault="00C64AA6" w:rsidP="00A3540D">
            <w:pPr>
              <w:snapToGrid w:val="0"/>
              <w:ind w:left="240" w:hanging="240"/>
              <w:jc w:val="both"/>
              <w:rPr>
                <w:rFonts w:ascii="標楷體" w:eastAsia="標楷體" w:hAnsi="標楷體"/>
              </w:rPr>
            </w:pPr>
          </w:p>
        </w:tc>
        <w:tc>
          <w:tcPr>
            <w:tcW w:w="1615" w:type="pct"/>
          </w:tcPr>
          <w:p w:rsidR="00C64AA6" w:rsidRDefault="007A5950" w:rsidP="001C70FF">
            <w:pPr>
              <w:pStyle w:val="af"/>
              <w:numPr>
                <w:ilvl w:val="0"/>
                <w:numId w:val="23"/>
              </w:numPr>
              <w:spacing w:line="360" w:lineRule="exact"/>
              <w:ind w:firstLineChars="0"/>
              <w:rPr>
                <w:rFonts w:ascii="標楷體" w:hAnsi="標楷體"/>
                <w:sz w:val="24"/>
                <w:u w:val="single"/>
              </w:rPr>
            </w:pPr>
            <w:r>
              <w:rPr>
                <w:rFonts w:ascii="標楷體" w:hAnsi="標楷體" w:hint="eastAsia"/>
                <w:sz w:val="24"/>
                <w:u w:val="single"/>
              </w:rPr>
              <w:t>本條</w:t>
            </w:r>
            <w:r w:rsidR="00C64AA6" w:rsidRPr="00B14D77">
              <w:rPr>
                <w:rFonts w:ascii="標楷體" w:hAnsi="標楷體" w:hint="eastAsia"/>
                <w:sz w:val="24"/>
                <w:u w:val="single"/>
              </w:rPr>
              <w:t>新增。</w:t>
            </w:r>
          </w:p>
          <w:p w:rsidR="00C64AA6" w:rsidRPr="003D0BD5" w:rsidRDefault="003D0BD5" w:rsidP="001C70FF">
            <w:pPr>
              <w:pStyle w:val="af"/>
              <w:numPr>
                <w:ilvl w:val="0"/>
                <w:numId w:val="23"/>
              </w:numPr>
              <w:spacing w:line="360" w:lineRule="exact"/>
              <w:ind w:firstLineChars="0"/>
              <w:rPr>
                <w:rFonts w:ascii="標楷體"/>
                <w:sz w:val="24"/>
                <w:u w:val="single"/>
              </w:rPr>
            </w:pPr>
            <w:r w:rsidRPr="00BA1EBE">
              <w:rPr>
                <w:rFonts w:ascii="標楷體" w:hAnsi="標楷體" w:cs="細明體" w:hint="eastAsia"/>
                <w:kern w:val="0"/>
                <w:sz w:val="24"/>
              </w:rPr>
              <w:t>撤銷</w:t>
            </w:r>
            <w:r w:rsidRPr="00BA1EBE">
              <w:rPr>
                <w:rFonts w:ascii="標楷體" w:hAnsi="標楷體" w:hint="eastAsia"/>
                <w:sz w:val="24"/>
              </w:rPr>
              <w:t>沒收確定判決之事後程序，旨在使未經合法程序即</w:t>
            </w:r>
            <w:r w:rsidRPr="00BA1EBE">
              <w:rPr>
                <w:rFonts w:ascii="標楷體" w:hAnsi="標楷體" w:cs="細明體" w:hint="eastAsia"/>
                <w:kern w:val="0"/>
                <w:sz w:val="24"/>
              </w:rPr>
              <w:t>遭沒收財產之所有人，得重新經由正當程序主張權利</w:t>
            </w:r>
            <w:r w:rsidR="00B76709">
              <w:rPr>
                <w:rFonts w:ascii="標楷體" w:hAnsi="標楷體" w:cs="細明體" w:hint="eastAsia"/>
                <w:kern w:val="0"/>
                <w:sz w:val="24"/>
              </w:rPr>
              <w:t>；</w:t>
            </w:r>
            <w:r w:rsidRPr="00BA1EBE">
              <w:rPr>
                <w:rFonts w:ascii="標楷體" w:hAnsi="標楷體" w:cs="細明體" w:hint="eastAsia"/>
                <w:kern w:val="0"/>
                <w:sz w:val="24"/>
              </w:rPr>
              <w:t>至將來重新審判結果，未必與原沒收之確定判決結果不同</w:t>
            </w:r>
            <w:r w:rsidR="00B76709">
              <w:rPr>
                <w:rFonts w:ascii="標楷體" w:hAnsi="標楷體" w:cs="細明體" w:hint="eastAsia"/>
                <w:kern w:val="0"/>
                <w:sz w:val="24"/>
              </w:rPr>
              <w:t>。</w:t>
            </w:r>
            <w:r w:rsidRPr="00BA1EBE">
              <w:rPr>
                <w:rFonts w:ascii="標楷體" w:hAnsi="標楷體" w:cs="細明體" w:hint="eastAsia"/>
                <w:kern w:val="0"/>
                <w:sz w:val="24"/>
              </w:rPr>
              <w:t>是撤銷</w:t>
            </w:r>
            <w:r w:rsidRPr="00BA1EBE">
              <w:rPr>
                <w:rFonts w:ascii="標楷體" w:hAnsi="標楷體" w:hint="eastAsia"/>
                <w:sz w:val="24"/>
              </w:rPr>
              <w:t>沒收確定判決，</w:t>
            </w:r>
            <w:r w:rsidRPr="00BA1EBE">
              <w:rPr>
                <w:rFonts w:ascii="標楷體" w:hAnsi="標楷體" w:cs="細明體" w:hint="eastAsia"/>
                <w:kern w:val="0"/>
                <w:sz w:val="24"/>
              </w:rPr>
              <w:t>原則上對原確定判決不生影響，自無停止檢察官執行判決之效力。惟為避免執行程序於</w:t>
            </w:r>
            <w:r w:rsidRPr="00BA1EBE">
              <w:rPr>
                <w:rFonts w:ascii="標楷體" w:hAnsi="標楷體" w:hint="eastAsia"/>
                <w:sz w:val="24"/>
              </w:rPr>
              <w:t>撤銷沒收確定判決之裁定</w:t>
            </w:r>
            <w:r w:rsidRPr="00BA1EBE">
              <w:rPr>
                <w:rFonts w:ascii="標楷體" w:hAnsi="標楷體" w:cs="細明體" w:hint="eastAsia"/>
                <w:kern w:val="0"/>
                <w:sz w:val="24"/>
              </w:rPr>
              <w:t>確定前即已終結，致財產所有人權益受損，明定</w:t>
            </w:r>
            <w:r w:rsidRPr="00BA1EBE">
              <w:rPr>
                <w:rFonts w:ascii="標楷體" w:hAnsi="標楷體" w:hint="eastAsia"/>
                <w:sz w:val="24"/>
              </w:rPr>
              <w:t>管轄法院之檢察官</w:t>
            </w:r>
            <w:r>
              <w:rPr>
                <w:rFonts w:ascii="標楷體" w:hAnsi="標楷體" w:cs="細明體" w:hint="eastAsia"/>
                <w:kern w:val="0"/>
                <w:sz w:val="24"/>
              </w:rPr>
              <w:t>於必要時得命停止執行。</w:t>
            </w:r>
            <w:r w:rsidRPr="00BA1EBE">
              <w:rPr>
                <w:rFonts w:ascii="標楷體" w:hAnsi="標楷體" w:cs="細明體" w:hint="eastAsia"/>
                <w:kern w:val="0"/>
                <w:sz w:val="24"/>
              </w:rPr>
              <w:t>爰參考</w:t>
            </w:r>
            <w:r w:rsidRPr="00BA1EBE">
              <w:rPr>
                <w:rFonts w:ascii="標楷體" w:hAnsi="標楷體" w:hint="eastAsia"/>
                <w:kern w:val="0"/>
                <w:sz w:val="24"/>
              </w:rPr>
              <w:t>德國刑事訴訟法第四百三十九條第一項後段</w:t>
            </w:r>
            <w:r w:rsidRPr="00BA1EBE">
              <w:rPr>
                <w:rFonts w:ascii="標楷體" w:hAnsi="標楷體" w:hint="eastAsia"/>
                <w:sz w:val="24"/>
              </w:rPr>
              <w:t>，增訂本條規定</w:t>
            </w:r>
            <w:r w:rsidRPr="00BA1EBE">
              <w:rPr>
                <w:rFonts w:ascii="標楷體" w:hAnsi="標楷體" w:cs="細明體" w:hint="eastAsia"/>
                <w:kern w:val="0"/>
                <w:sz w:val="24"/>
              </w:rPr>
              <w:t>。</w:t>
            </w:r>
          </w:p>
        </w:tc>
      </w:tr>
      <w:tr w:rsidR="00C64AA6" w:rsidRPr="003873F6" w:rsidTr="00111886">
        <w:trPr>
          <w:trHeight w:val="1"/>
        </w:trPr>
        <w:tc>
          <w:tcPr>
            <w:tcW w:w="1775" w:type="pct"/>
            <w:tcMar>
              <w:left w:w="0" w:type="dxa"/>
              <w:right w:w="0" w:type="dxa"/>
            </w:tcMar>
          </w:tcPr>
          <w:p w:rsidR="00C64AA6" w:rsidRPr="00B14D77" w:rsidRDefault="003D0BD5" w:rsidP="00A3540D">
            <w:pPr>
              <w:snapToGrid w:val="0"/>
              <w:ind w:left="240" w:hanging="240"/>
              <w:jc w:val="both"/>
              <w:rPr>
                <w:rFonts w:ascii="標楷體" w:eastAsia="標楷體" w:hAnsi="標楷體" w:cs="標楷體"/>
                <w:kern w:val="0"/>
              </w:rPr>
            </w:pPr>
            <w:r>
              <w:rPr>
                <w:rFonts w:ascii="標楷體" w:eastAsia="標楷體" w:hAnsi="標楷體" w:hint="eastAsia"/>
                <w:kern w:val="0"/>
              </w:rPr>
              <w:t>第四百五十五條之三十一</w:t>
            </w:r>
            <w:r w:rsidR="00C64AA6" w:rsidRPr="00B14D77">
              <w:rPr>
                <w:rFonts w:ascii="標楷體" w:eastAsia="標楷體" w:hAnsi="標楷體"/>
                <w:kern w:val="0"/>
              </w:rPr>
              <w:t xml:space="preserve">  </w:t>
            </w:r>
            <w:r w:rsidR="00C64AA6" w:rsidRPr="00B14D77">
              <w:rPr>
                <w:rFonts w:ascii="標楷體" w:eastAsia="標楷體" w:hAnsi="標楷體" w:hint="eastAsia"/>
                <w:kern w:val="0"/>
              </w:rPr>
              <w:t>法院對於撤銷沒收確定判決之聲請，應通知聲請人、檢察官</w:t>
            </w:r>
            <w:r w:rsidR="00C64AA6" w:rsidRPr="00B14D77">
              <w:rPr>
                <w:rFonts w:ascii="標楷體" w:eastAsia="標楷體" w:hAnsi="標楷體" w:hint="eastAsia"/>
                <w:kern w:val="0"/>
              </w:rPr>
              <w:lastRenderedPageBreak/>
              <w:t>及自訴代理人，予其陳述意見之機會。</w:t>
            </w:r>
          </w:p>
        </w:tc>
        <w:tc>
          <w:tcPr>
            <w:tcW w:w="1610" w:type="pct"/>
            <w:tcMar>
              <w:left w:w="0" w:type="dxa"/>
              <w:right w:w="0" w:type="dxa"/>
            </w:tcMar>
          </w:tcPr>
          <w:p w:rsidR="00C64AA6" w:rsidRPr="00B14D77" w:rsidRDefault="00C64AA6" w:rsidP="00A3540D">
            <w:pPr>
              <w:snapToGrid w:val="0"/>
              <w:ind w:left="240" w:hanging="240"/>
              <w:jc w:val="both"/>
              <w:rPr>
                <w:rFonts w:ascii="標楷體" w:eastAsia="標楷體" w:hAnsi="標楷體"/>
              </w:rPr>
            </w:pPr>
          </w:p>
        </w:tc>
        <w:tc>
          <w:tcPr>
            <w:tcW w:w="1615" w:type="pct"/>
          </w:tcPr>
          <w:p w:rsidR="00C64AA6" w:rsidRDefault="003D0BD5" w:rsidP="001C70FF">
            <w:pPr>
              <w:pStyle w:val="af"/>
              <w:numPr>
                <w:ilvl w:val="0"/>
                <w:numId w:val="24"/>
              </w:numPr>
              <w:spacing w:line="360" w:lineRule="exact"/>
              <w:ind w:firstLineChars="0"/>
              <w:rPr>
                <w:rFonts w:ascii="標楷體" w:hAnsi="標楷體"/>
                <w:sz w:val="24"/>
                <w:u w:val="single"/>
              </w:rPr>
            </w:pPr>
            <w:r>
              <w:rPr>
                <w:rFonts w:ascii="標楷體" w:hAnsi="標楷體" w:hint="eastAsia"/>
                <w:sz w:val="24"/>
                <w:u w:val="single"/>
              </w:rPr>
              <w:t>本條</w:t>
            </w:r>
            <w:r w:rsidR="00C64AA6" w:rsidRPr="00B14D77">
              <w:rPr>
                <w:rFonts w:ascii="標楷體" w:hAnsi="標楷體" w:hint="eastAsia"/>
                <w:sz w:val="24"/>
                <w:u w:val="single"/>
              </w:rPr>
              <w:t>新增。</w:t>
            </w:r>
          </w:p>
          <w:p w:rsidR="00C64AA6" w:rsidRPr="003D0BD5" w:rsidRDefault="003D0BD5" w:rsidP="001C70FF">
            <w:pPr>
              <w:pStyle w:val="af"/>
              <w:numPr>
                <w:ilvl w:val="0"/>
                <w:numId w:val="24"/>
              </w:numPr>
              <w:spacing w:line="360" w:lineRule="exact"/>
              <w:ind w:firstLineChars="0"/>
              <w:rPr>
                <w:rFonts w:ascii="標楷體"/>
                <w:sz w:val="24"/>
                <w:u w:val="single"/>
              </w:rPr>
            </w:pPr>
            <w:r w:rsidRPr="00BA1EBE">
              <w:rPr>
                <w:rFonts w:ascii="標楷體" w:hAnsi="標楷體" w:hint="eastAsia"/>
                <w:sz w:val="24"/>
              </w:rPr>
              <w:t>法院為判斷原沒收</w:t>
            </w:r>
            <w:r w:rsidR="00904A70">
              <w:rPr>
                <w:rFonts w:ascii="標楷體" w:hAnsi="標楷體" w:hint="eastAsia"/>
                <w:sz w:val="24"/>
              </w:rPr>
              <w:t>確定</w:t>
            </w:r>
            <w:r w:rsidR="00904A70">
              <w:rPr>
                <w:rFonts w:ascii="標楷體" w:hAnsi="標楷體" w:hint="eastAsia"/>
                <w:sz w:val="24"/>
              </w:rPr>
              <w:lastRenderedPageBreak/>
              <w:t>判決前之審理</w:t>
            </w:r>
            <w:r w:rsidRPr="00BA1EBE">
              <w:rPr>
                <w:rFonts w:ascii="標楷體" w:hAnsi="標楷體" w:hint="eastAsia"/>
                <w:sz w:val="24"/>
              </w:rPr>
              <w:t>程序是否符合正當法律程序之要求，於裁定前，自應通知聲請人、檢察官或自訴代理人，由聲請人提出足以</w:t>
            </w:r>
            <w:r>
              <w:rPr>
                <w:rFonts w:ascii="標楷體" w:hAnsi="標楷體" w:hint="eastAsia"/>
                <w:sz w:val="24"/>
              </w:rPr>
              <w:t>認定原沒收裁判未經正當程序之證據，予檢察官或自訴代理人陳述意見。</w:t>
            </w:r>
            <w:r w:rsidRPr="00BA1EBE">
              <w:rPr>
                <w:rFonts w:ascii="標楷體" w:hAnsi="標楷體" w:hint="eastAsia"/>
                <w:sz w:val="24"/>
              </w:rPr>
              <w:t>爰參考日本應急對策法第十三條第五項之立法例，增訂本條規定。</w:t>
            </w:r>
          </w:p>
        </w:tc>
      </w:tr>
      <w:tr w:rsidR="00C64AA6" w:rsidRPr="003873F6" w:rsidTr="00111886">
        <w:trPr>
          <w:trHeight w:val="1"/>
        </w:trPr>
        <w:tc>
          <w:tcPr>
            <w:tcW w:w="1775" w:type="pct"/>
            <w:tcMar>
              <w:left w:w="0" w:type="dxa"/>
              <w:right w:w="0" w:type="dxa"/>
            </w:tcMar>
          </w:tcPr>
          <w:p w:rsidR="00C64AA6" w:rsidRPr="00B14D77" w:rsidRDefault="007F5152" w:rsidP="00A3540D">
            <w:pPr>
              <w:snapToGrid w:val="0"/>
              <w:ind w:left="240" w:hanging="240"/>
              <w:jc w:val="both"/>
              <w:rPr>
                <w:rFonts w:ascii="標楷體" w:eastAsia="標楷體" w:hAnsi="標楷體" w:cs="標楷體"/>
                <w:kern w:val="0"/>
              </w:rPr>
            </w:pPr>
            <w:r>
              <w:rPr>
                <w:rFonts w:ascii="標楷體" w:eastAsia="標楷體" w:hAnsi="標楷體" w:hint="eastAsia"/>
                <w:kern w:val="0"/>
              </w:rPr>
              <w:lastRenderedPageBreak/>
              <w:t>第四百五十五條之三十二</w:t>
            </w:r>
            <w:r w:rsidR="00C64AA6" w:rsidRPr="00B14D77">
              <w:rPr>
                <w:rFonts w:ascii="標楷體" w:eastAsia="標楷體" w:hAnsi="標楷體"/>
                <w:kern w:val="0"/>
              </w:rPr>
              <w:t xml:space="preserve">  </w:t>
            </w:r>
            <w:r w:rsidR="00C64AA6" w:rsidRPr="00B14D77">
              <w:rPr>
                <w:rFonts w:ascii="標楷體" w:eastAsia="標楷體" w:hAnsi="標楷體" w:hint="eastAsia"/>
                <w:kern w:val="0"/>
              </w:rPr>
              <w:t>法院認為撤銷沒收確定判決之聲請不合法律上之程式或法律上不應准許或無理由者，應以裁定駁回之。但其不合法律上之程式可以補正者，應定期間先命補正。</w:t>
            </w:r>
          </w:p>
          <w:p w:rsidR="00C64AA6" w:rsidRPr="00B14D77" w:rsidRDefault="00070FF9" w:rsidP="00A3540D">
            <w:pPr>
              <w:pStyle w:val="aa"/>
              <w:snapToGrid w:val="0"/>
              <w:ind w:leftChars="100" w:left="240" w:firstLineChars="200" w:firstLine="480"/>
              <w:jc w:val="both"/>
              <w:rPr>
                <w:rFonts w:ascii="標楷體" w:eastAsia="標楷體" w:hAnsi="標楷體" w:cs="標楷體"/>
                <w:kern w:val="0"/>
              </w:rPr>
            </w:pPr>
            <w:r>
              <w:rPr>
                <w:rFonts w:ascii="標楷體" w:eastAsia="標楷體" w:hAnsi="標楷體" w:cs="標楷體" w:hint="eastAsia"/>
                <w:kern w:val="0"/>
              </w:rPr>
              <w:t>法院認為聲請</w:t>
            </w:r>
            <w:r w:rsidR="00EC0063" w:rsidRPr="00B14D77">
              <w:rPr>
                <w:rFonts w:ascii="標楷體" w:eastAsia="標楷體" w:hAnsi="標楷體" w:hint="eastAsia"/>
                <w:kern w:val="0"/>
              </w:rPr>
              <w:t>撤銷沒收確定判決</w:t>
            </w:r>
            <w:r w:rsidR="00C64AA6" w:rsidRPr="00B14D77">
              <w:rPr>
                <w:rFonts w:ascii="標楷體" w:eastAsia="標楷體" w:hAnsi="標楷體" w:cs="標楷體" w:hint="eastAsia"/>
                <w:kern w:val="0"/>
              </w:rPr>
              <w:t>有理由者，應以裁定將沒收確定判決中經聲請之部分撤銷。</w:t>
            </w:r>
          </w:p>
          <w:p w:rsidR="00C64AA6" w:rsidRPr="00B14D77" w:rsidRDefault="007430E3" w:rsidP="00A3540D">
            <w:pPr>
              <w:pStyle w:val="aa"/>
              <w:snapToGrid w:val="0"/>
              <w:ind w:leftChars="100" w:left="240" w:firstLineChars="200" w:firstLine="480"/>
              <w:jc w:val="both"/>
              <w:rPr>
                <w:rFonts w:ascii="標楷體" w:eastAsia="標楷體" w:hAnsi="標楷體" w:cs="標楷體"/>
                <w:kern w:val="0"/>
              </w:rPr>
            </w:pPr>
            <w:r>
              <w:rPr>
                <w:rFonts w:ascii="標楷體" w:eastAsia="標楷體" w:hAnsi="標楷體" w:cs="標楷體" w:hint="eastAsia"/>
                <w:kern w:val="0"/>
              </w:rPr>
              <w:t>對於前</w:t>
            </w:r>
            <w:r w:rsidRPr="004D158F">
              <w:rPr>
                <w:rFonts w:ascii="標楷體" w:eastAsia="標楷體" w:hAnsi="標楷體" w:cs="標楷體" w:hint="eastAsia"/>
                <w:kern w:val="0"/>
              </w:rPr>
              <w:t>二</w:t>
            </w:r>
            <w:r w:rsidR="00C64AA6" w:rsidRPr="00B14D77">
              <w:rPr>
                <w:rFonts w:ascii="標楷體" w:eastAsia="標楷體" w:hAnsi="標楷體" w:cs="標楷體" w:hint="eastAsia"/>
                <w:kern w:val="0"/>
              </w:rPr>
              <w:t>項抗告法院之裁定，得提起再抗告。</w:t>
            </w:r>
          </w:p>
          <w:p w:rsidR="00C64AA6" w:rsidRPr="00B14D77" w:rsidRDefault="00C64AA6" w:rsidP="00A3540D">
            <w:pPr>
              <w:pStyle w:val="aa"/>
              <w:snapToGrid w:val="0"/>
              <w:ind w:leftChars="100" w:left="240" w:firstLineChars="200" w:firstLine="480"/>
              <w:jc w:val="both"/>
              <w:rPr>
                <w:rFonts w:ascii="標楷體" w:eastAsia="標楷體" w:hAnsi="標楷體" w:cs="標楷體"/>
                <w:kern w:val="0"/>
              </w:rPr>
            </w:pPr>
            <w:r w:rsidRPr="00B14D77">
              <w:rPr>
                <w:rFonts w:ascii="標楷體" w:eastAsia="標楷體" w:hAnsi="標楷體" w:cs="標楷體" w:hint="eastAsia"/>
                <w:kern w:val="0"/>
              </w:rPr>
              <w:t>聲請撤銷沒收確定判決之抗告</w:t>
            </w:r>
            <w:r w:rsidR="00972CDD">
              <w:rPr>
                <w:rFonts w:ascii="標楷體" w:eastAsia="標楷體" w:hAnsi="標楷體" w:cs="標楷體" w:hint="eastAsia"/>
                <w:kern w:val="0"/>
              </w:rPr>
              <w:t>及再抗告</w:t>
            </w:r>
            <w:r w:rsidRPr="00B14D77">
              <w:rPr>
                <w:rFonts w:ascii="標楷體" w:eastAsia="標楷體" w:hAnsi="標楷體" w:cs="標楷體" w:hint="eastAsia"/>
                <w:kern w:val="0"/>
              </w:rPr>
              <w:t>，除本編有特別規定外，準用第四編之規定。</w:t>
            </w:r>
          </w:p>
        </w:tc>
        <w:tc>
          <w:tcPr>
            <w:tcW w:w="1610" w:type="pct"/>
            <w:tcMar>
              <w:left w:w="0" w:type="dxa"/>
              <w:right w:w="0" w:type="dxa"/>
            </w:tcMar>
          </w:tcPr>
          <w:p w:rsidR="00C64AA6" w:rsidRPr="00B14D77" w:rsidRDefault="00C64AA6" w:rsidP="00A3540D">
            <w:pPr>
              <w:snapToGrid w:val="0"/>
              <w:ind w:left="240" w:hanging="240"/>
              <w:jc w:val="both"/>
              <w:rPr>
                <w:rFonts w:ascii="標楷體" w:eastAsia="標楷體" w:hAnsi="標楷體"/>
              </w:rPr>
            </w:pPr>
          </w:p>
        </w:tc>
        <w:tc>
          <w:tcPr>
            <w:tcW w:w="1615" w:type="pct"/>
          </w:tcPr>
          <w:p w:rsidR="00C64AA6" w:rsidRDefault="007F5152" w:rsidP="001C70FF">
            <w:pPr>
              <w:pStyle w:val="af"/>
              <w:numPr>
                <w:ilvl w:val="0"/>
                <w:numId w:val="25"/>
              </w:numPr>
              <w:spacing w:line="360" w:lineRule="exact"/>
              <w:ind w:firstLineChars="0"/>
              <w:rPr>
                <w:rFonts w:ascii="標楷體" w:hAnsi="標楷體"/>
                <w:sz w:val="24"/>
                <w:u w:val="single"/>
              </w:rPr>
            </w:pPr>
            <w:r>
              <w:rPr>
                <w:rFonts w:ascii="標楷體" w:hAnsi="標楷體" w:hint="eastAsia"/>
                <w:sz w:val="24"/>
                <w:u w:val="single"/>
              </w:rPr>
              <w:t>本條</w:t>
            </w:r>
            <w:r w:rsidR="00C64AA6" w:rsidRPr="00B14D77">
              <w:rPr>
                <w:rFonts w:ascii="標楷體" w:hAnsi="標楷體" w:hint="eastAsia"/>
                <w:sz w:val="24"/>
                <w:u w:val="single"/>
              </w:rPr>
              <w:t>新增。</w:t>
            </w:r>
          </w:p>
          <w:p w:rsidR="007F5152" w:rsidRPr="007F5152" w:rsidRDefault="007F5152" w:rsidP="001C70FF">
            <w:pPr>
              <w:pStyle w:val="af"/>
              <w:numPr>
                <w:ilvl w:val="0"/>
                <w:numId w:val="25"/>
              </w:numPr>
              <w:spacing w:line="360" w:lineRule="exact"/>
              <w:ind w:firstLineChars="0"/>
              <w:rPr>
                <w:rFonts w:ascii="標楷體" w:hAnsi="標楷體"/>
                <w:sz w:val="24"/>
                <w:u w:val="single"/>
              </w:rPr>
            </w:pPr>
            <w:r w:rsidRPr="007F5152">
              <w:rPr>
                <w:rFonts w:ascii="標楷體" w:hAnsi="標楷體" w:cs="標楷體" w:hint="eastAsia"/>
                <w:bCs/>
                <w:kern w:val="0"/>
                <w:sz w:val="24"/>
              </w:rPr>
              <w:t>法院受理</w:t>
            </w:r>
            <w:r w:rsidRPr="007F5152">
              <w:rPr>
                <w:rFonts w:ascii="標楷體" w:hAnsi="標楷體" w:cs="標楷體" w:hint="eastAsia"/>
                <w:kern w:val="0"/>
                <w:sz w:val="24"/>
              </w:rPr>
              <w:t>撤銷沒收確定判決之聲請，</w:t>
            </w:r>
            <w:r w:rsidRPr="007F5152">
              <w:rPr>
                <w:rFonts w:ascii="標楷體" w:hAnsi="標楷體" w:cs="標楷體" w:hint="eastAsia"/>
                <w:bCs/>
                <w:sz w:val="24"/>
              </w:rPr>
              <w:t>認為聲請有不合法律上之程式或法律上不應准許等不合法情形，或無理由者，應即以裁定駁回之。但其不合法律上之程式可以補正者，應定期間先命補正，爰於本條第一項規定之</w:t>
            </w:r>
            <w:r w:rsidRPr="007F5152">
              <w:rPr>
                <w:rFonts w:ascii="標楷體" w:hAnsi="標楷體" w:cs="標楷體" w:hint="eastAsia"/>
                <w:sz w:val="24"/>
              </w:rPr>
              <w:t>。</w:t>
            </w:r>
          </w:p>
          <w:p w:rsidR="007F5152" w:rsidRPr="007F5152" w:rsidRDefault="007F5152" w:rsidP="001C70FF">
            <w:pPr>
              <w:pStyle w:val="af"/>
              <w:numPr>
                <w:ilvl w:val="0"/>
                <w:numId w:val="25"/>
              </w:numPr>
              <w:spacing w:line="360" w:lineRule="exact"/>
              <w:ind w:firstLineChars="0"/>
              <w:rPr>
                <w:rFonts w:ascii="標楷體" w:hAnsi="標楷體"/>
                <w:sz w:val="24"/>
                <w:u w:val="single"/>
              </w:rPr>
            </w:pPr>
            <w:r w:rsidRPr="007F5152">
              <w:rPr>
                <w:rFonts w:ascii="標楷體" w:hAnsi="標楷體" w:cs="標楷體" w:hint="eastAsia"/>
                <w:bCs/>
                <w:sz w:val="24"/>
              </w:rPr>
              <w:t>法院認為聲請有理由者，為使聲請人及檢察官知悉准許之意旨，亦應以裁定准許之，爰於本條第二項予以規定</w:t>
            </w:r>
            <w:r w:rsidRPr="007F5152">
              <w:rPr>
                <w:rFonts w:ascii="標楷體" w:hAnsi="標楷體" w:cs="標楷體" w:hint="eastAsia"/>
                <w:sz w:val="24"/>
              </w:rPr>
              <w:t>。</w:t>
            </w:r>
          </w:p>
          <w:p w:rsidR="007F5152" w:rsidRPr="007F5152" w:rsidRDefault="007F5152" w:rsidP="001C70FF">
            <w:pPr>
              <w:pStyle w:val="af"/>
              <w:numPr>
                <w:ilvl w:val="0"/>
                <w:numId w:val="25"/>
              </w:numPr>
              <w:spacing w:line="360" w:lineRule="exact"/>
              <w:ind w:firstLineChars="0"/>
              <w:rPr>
                <w:rFonts w:ascii="標楷體" w:hAnsi="標楷體"/>
                <w:sz w:val="24"/>
                <w:u w:val="single"/>
              </w:rPr>
            </w:pPr>
            <w:r w:rsidRPr="007F5152">
              <w:rPr>
                <w:rFonts w:ascii="標楷體" w:hAnsi="標楷體" w:hint="eastAsia"/>
                <w:sz w:val="24"/>
              </w:rPr>
              <w:t>本條第一、二項關於原沒收確定判決應否撤銷之裁定，經抗告後，依本法第四百十五條規定，原不得再抗告，然其涉及被</w:t>
            </w:r>
            <w:r w:rsidRPr="007F5152">
              <w:rPr>
                <w:rFonts w:hint="eastAsia"/>
                <w:sz w:val="24"/>
              </w:rPr>
              <w:t>沒收之第三人財產權，對該第三人利害關係重大，抗告法院裁定後，應賦予再救濟之機會，爰</w:t>
            </w:r>
            <w:r w:rsidRPr="007F5152">
              <w:rPr>
                <w:rFonts w:cs="標楷體" w:hint="eastAsia"/>
                <w:sz w:val="24"/>
              </w:rPr>
              <w:t>增訂本條第三項。</w:t>
            </w:r>
          </w:p>
          <w:p w:rsidR="00C64AA6" w:rsidRPr="007F5152" w:rsidRDefault="007F5152" w:rsidP="001C70FF">
            <w:pPr>
              <w:pStyle w:val="af"/>
              <w:numPr>
                <w:ilvl w:val="0"/>
                <w:numId w:val="25"/>
              </w:numPr>
              <w:spacing w:line="360" w:lineRule="exact"/>
              <w:ind w:firstLineChars="0"/>
              <w:rPr>
                <w:rFonts w:ascii="標楷體" w:hAnsi="標楷體"/>
                <w:sz w:val="24"/>
                <w:u w:val="single"/>
              </w:rPr>
            </w:pPr>
            <w:r w:rsidRPr="007F5152">
              <w:rPr>
                <w:rFonts w:hint="eastAsia"/>
                <w:kern w:val="0"/>
                <w:sz w:val="24"/>
              </w:rPr>
              <w:t>對於聲請撤銷沒收確定判決之裁定不服者</w:t>
            </w:r>
            <w:r w:rsidRPr="007F5152">
              <w:rPr>
                <w:rFonts w:hint="eastAsia"/>
                <w:kern w:val="0"/>
                <w:sz w:val="24"/>
                <w:lang w:val="zh-TW"/>
              </w:rPr>
              <w:t>，</w:t>
            </w:r>
            <w:r w:rsidRPr="007F5152">
              <w:rPr>
                <w:rFonts w:cs="標楷體" w:hint="eastAsia"/>
                <w:kern w:val="0"/>
                <w:sz w:val="24"/>
                <w:lang w:val="zh-TW"/>
              </w:rPr>
              <w:t>其程</w:t>
            </w:r>
            <w:r w:rsidRPr="007F5152">
              <w:rPr>
                <w:rFonts w:cs="標楷體" w:hint="eastAsia"/>
                <w:kern w:val="0"/>
                <w:sz w:val="24"/>
                <w:lang w:val="zh-TW"/>
              </w:rPr>
              <w:lastRenderedPageBreak/>
              <w:t>序允宜增設準用之規定，以資明確，爰</w:t>
            </w:r>
            <w:r w:rsidRPr="007F5152">
              <w:rPr>
                <w:rFonts w:hint="eastAsia"/>
                <w:sz w:val="24"/>
              </w:rPr>
              <w:t>增訂</w:t>
            </w:r>
            <w:r w:rsidRPr="007F5152">
              <w:rPr>
                <w:sz w:val="24"/>
              </w:rPr>
              <w:t>本條</w:t>
            </w:r>
            <w:r w:rsidRPr="007F5152">
              <w:rPr>
                <w:rFonts w:hint="eastAsia"/>
                <w:sz w:val="24"/>
              </w:rPr>
              <w:t>第四項。</w:t>
            </w:r>
          </w:p>
        </w:tc>
      </w:tr>
      <w:tr w:rsidR="00C64AA6" w:rsidRPr="003873F6" w:rsidTr="00111886">
        <w:trPr>
          <w:trHeight w:val="1"/>
        </w:trPr>
        <w:tc>
          <w:tcPr>
            <w:tcW w:w="1775" w:type="pct"/>
            <w:tcMar>
              <w:left w:w="0" w:type="dxa"/>
              <w:right w:w="0" w:type="dxa"/>
            </w:tcMar>
          </w:tcPr>
          <w:p w:rsidR="00C64AA6" w:rsidRPr="00B14D77" w:rsidRDefault="003C0E40" w:rsidP="00A3540D">
            <w:pPr>
              <w:snapToGrid w:val="0"/>
              <w:ind w:left="240" w:hanging="240"/>
              <w:jc w:val="both"/>
              <w:rPr>
                <w:rFonts w:ascii="標楷體" w:eastAsia="標楷體" w:hAnsi="標楷體" w:cs="標楷體"/>
                <w:kern w:val="0"/>
              </w:rPr>
            </w:pPr>
            <w:r>
              <w:rPr>
                <w:rFonts w:ascii="標楷體" w:eastAsia="標楷體" w:hAnsi="標楷體" w:cs="標楷體" w:hint="eastAsia"/>
                <w:kern w:val="0"/>
              </w:rPr>
              <w:lastRenderedPageBreak/>
              <w:t>第四百五十五條之三十三</w:t>
            </w:r>
            <w:r w:rsidR="00C64AA6" w:rsidRPr="00B14D77">
              <w:rPr>
                <w:rFonts w:ascii="標楷體" w:eastAsia="標楷體" w:hAnsi="標楷體" w:cs="標楷體"/>
                <w:kern w:val="0"/>
              </w:rPr>
              <w:t xml:space="preserve">  </w:t>
            </w:r>
            <w:r w:rsidR="00923590">
              <w:rPr>
                <w:rFonts w:ascii="標楷體" w:eastAsia="標楷體" w:hAnsi="標楷體" w:cs="標楷體" w:hint="eastAsia"/>
                <w:kern w:val="0"/>
              </w:rPr>
              <w:t>撤銷沒收確定判決之裁定確定後，法院應依判決前</w:t>
            </w:r>
            <w:r w:rsidR="00C64AA6" w:rsidRPr="00B14D77">
              <w:rPr>
                <w:rFonts w:ascii="標楷體" w:eastAsia="標楷體" w:hAnsi="標楷體" w:cs="標楷體" w:hint="eastAsia"/>
                <w:kern w:val="0"/>
              </w:rPr>
              <w:t>之程序，更為審判。</w:t>
            </w:r>
          </w:p>
        </w:tc>
        <w:tc>
          <w:tcPr>
            <w:tcW w:w="1610" w:type="pct"/>
            <w:tcMar>
              <w:left w:w="0" w:type="dxa"/>
              <w:right w:w="0" w:type="dxa"/>
            </w:tcMar>
          </w:tcPr>
          <w:p w:rsidR="00C64AA6" w:rsidRPr="00B14D77" w:rsidRDefault="00C64AA6" w:rsidP="00A3540D">
            <w:pPr>
              <w:snapToGrid w:val="0"/>
              <w:ind w:left="240" w:hanging="240"/>
              <w:jc w:val="both"/>
              <w:rPr>
                <w:rFonts w:ascii="標楷體" w:eastAsia="標楷體" w:hAnsi="標楷體"/>
              </w:rPr>
            </w:pPr>
          </w:p>
        </w:tc>
        <w:tc>
          <w:tcPr>
            <w:tcW w:w="1615" w:type="pct"/>
          </w:tcPr>
          <w:p w:rsidR="00C64AA6" w:rsidRDefault="003C0E40" w:rsidP="001C70FF">
            <w:pPr>
              <w:pStyle w:val="af"/>
              <w:numPr>
                <w:ilvl w:val="0"/>
                <w:numId w:val="26"/>
              </w:numPr>
              <w:spacing w:line="360" w:lineRule="exact"/>
              <w:ind w:firstLineChars="0"/>
              <w:rPr>
                <w:rFonts w:ascii="標楷體" w:hAnsi="標楷體"/>
                <w:sz w:val="24"/>
                <w:u w:val="single"/>
              </w:rPr>
            </w:pPr>
            <w:r>
              <w:rPr>
                <w:rFonts w:ascii="標楷體" w:hAnsi="標楷體" w:hint="eastAsia"/>
                <w:sz w:val="24"/>
                <w:u w:val="single"/>
              </w:rPr>
              <w:t>本條</w:t>
            </w:r>
            <w:r w:rsidR="00C64AA6" w:rsidRPr="00B14D77">
              <w:rPr>
                <w:rFonts w:ascii="標楷體" w:hAnsi="標楷體" w:hint="eastAsia"/>
                <w:sz w:val="24"/>
                <w:u w:val="single"/>
              </w:rPr>
              <w:t>新增。</w:t>
            </w:r>
          </w:p>
          <w:p w:rsidR="00C64AA6" w:rsidRPr="003C0E40" w:rsidRDefault="00923590" w:rsidP="00923590">
            <w:pPr>
              <w:pStyle w:val="af"/>
              <w:numPr>
                <w:ilvl w:val="0"/>
                <w:numId w:val="26"/>
              </w:numPr>
              <w:spacing w:line="360" w:lineRule="exact"/>
              <w:ind w:firstLineChars="0"/>
              <w:rPr>
                <w:rFonts w:ascii="標楷體"/>
                <w:sz w:val="24"/>
                <w:u w:val="single"/>
              </w:rPr>
            </w:pPr>
            <w:r w:rsidRPr="00923590">
              <w:rPr>
                <w:rFonts w:ascii="標楷體" w:hAnsi="標楷體" w:cs="標楷體" w:hint="eastAsia"/>
                <w:kern w:val="0"/>
                <w:sz w:val="24"/>
                <w:lang w:val="zh-TW"/>
              </w:rPr>
              <w:t>原沒收確定判決經撤銷後，該部分自應由原審法院回復判決前之狀態，重新踐行合法程序，依法審判，以符合正當程序之要求，爰</w:t>
            </w:r>
            <w:r w:rsidRPr="00923590">
              <w:rPr>
                <w:rFonts w:ascii="標楷體" w:hAnsi="標楷體" w:cs="標楷體" w:hint="eastAsia"/>
                <w:sz w:val="24"/>
              </w:rPr>
              <w:t>增訂本條</w:t>
            </w:r>
            <w:r w:rsidRPr="00923590">
              <w:rPr>
                <w:rFonts w:ascii="標楷體" w:hAnsi="標楷體" w:cs="標楷體" w:hint="eastAsia"/>
                <w:kern w:val="0"/>
                <w:sz w:val="24"/>
                <w:lang w:val="zh-TW"/>
              </w:rPr>
              <w:t>。</w:t>
            </w:r>
            <w:r>
              <w:rPr>
                <w:rFonts w:ascii="標楷體" w:hAnsi="標楷體" w:cs="標楷體" w:hint="eastAsia"/>
                <w:kern w:val="0"/>
                <w:sz w:val="24"/>
                <w:lang w:val="zh-TW"/>
              </w:rPr>
              <w:t>又</w:t>
            </w:r>
            <w:r w:rsidRPr="005E1FE6">
              <w:rPr>
                <w:rFonts w:ascii="標楷體" w:hAnsi="標楷體" w:cs="標楷體" w:hint="eastAsia"/>
                <w:kern w:val="0"/>
                <w:sz w:val="24"/>
                <w:lang w:val="zh-TW"/>
              </w:rPr>
              <w:t>聲請人於回復原訴訟程序後，當然參與沒收程序，附此敘明。</w:t>
            </w:r>
          </w:p>
        </w:tc>
      </w:tr>
      <w:tr w:rsidR="00C64AA6" w:rsidRPr="003873F6" w:rsidTr="00111886">
        <w:trPr>
          <w:trHeight w:val="1"/>
        </w:trPr>
        <w:tc>
          <w:tcPr>
            <w:tcW w:w="1775" w:type="pct"/>
            <w:tcMar>
              <w:left w:w="0" w:type="dxa"/>
              <w:right w:w="0" w:type="dxa"/>
            </w:tcMar>
          </w:tcPr>
          <w:p w:rsidR="00C64AA6" w:rsidRPr="00B14D77" w:rsidRDefault="000656F4" w:rsidP="00A3540D">
            <w:pPr>
              <w:snapToGrid w:val="0"/>
              <w:ind w:left="240" w:hanging="240"/>
              <w:jc w:val="both"/>
              <w:rPr>
                <w:rFonts w:ascii="標楷體" w:eastAsia="標楷體" w:hAnsi="標楷體" w:cs="標楷體"/>
                <w:kern w:val="0"/>
              </w:rPr>
            </w:pPr>
            <w:r>
              <w:rPr>
                <w:rFonts w:ascii="標楷體" w:eastAsia="標楷體" w:hAnsi="標楷體" w:hint="eastAsia"/>
                <w:kern w:val="0"/>
              </w:rPr>
              <w:t>第四百五十五條之三十四</w:t>
            </w:r>
            <w:r w:rsidR="00C64AA6" w:rsidRPr="00B14D77">
              <w:rPr>
                <w:rFonts w:ascii="標楷體" w:eastAsia="標楷體" w:hAnsi="標楷體"/>
                <w:kern w:val="0"/>
              </w:rPr>
              <w:t xml:space="preserve">  </w:t>
            </w:r>
            <w:r w:rsidR="00C64AA6" w:rsidRPr="00B14D77">
              <w:rPr>
                <w:rFonts w:ascii="標楷體" w:eastAsia="標楷體" w:hAnsi="標楷體" w:hint="eastAsia"/>
                <w:kern w:val="0"/>
              </w:rPr>
              <w:t>單獨宣告沒收由檢察官聲請違法行為地、沒收財產所在地</w:t>
            </w:r>
            <w:r w:rsidR="00972CDD">
              <w:rPr>
                <w:rFonts w:ascii="標楷體" w:eastAsia="標楷體" w:hAnsi="標楷體" w:hint="eastAsia"/>
                <w:kern w:val="0"/>
              </w:rPr>
              <w:t>或其</w:t>
            </w:r>
            <w:r w:rsidR="00C64AA6" w:rsidRPr="00B14D77">
              <w:rPr>
                <w:rFonts w:ascii="標楷體" w:eastAsia="標楷體" w:hAnsi="標楷體" w:hint="eastAsia"/>
                <w:kern w:val="0"/>
              </w:rPr>
              <w:t>財產所有人之住所、居所或所在地之法院裁定之。</w:t>
            </w:r>
          </w:p>
        </w:tc>
        <w:tc>
          <w:tcPr>
            <w:tcW w:w="1610" w:type="pct"/>
            <w:tcMar>
              <w:left w:w="0" w:type="dxa"/>
              <w:right w:w="0" w:type="dxa"/>
            </w:tcMar>
          </w:tcPr>
          <w:p w:rsidR="00C64AA6" w:rsidRPr="00B14D77" w:rsidRDefault="00C64AA6" w:rsidP="00A3540D">
            <w:pPr>
              <w:snapToGrid w:val="0"/>
              <w:ind w:left="240" w:hanging="240"/>
              <w:jc w:val="both"/>
              <w:rPr>
                <w:rFonts w:ascii="標楷體" w:eastAsia="標楷體" w:hAnsi="標楷體"/>
              </w:rPr>
            </w:pPr>
          </w:p>
        </w:tc>
        <w:tc>
          <w:tcPr>
            <w:tcW w:w="1615" w:type="pct"/>
          </w:tcPr>
          <w:p w:rsidR="00C64AA6" w:rsidRDefault="000656F4" w:rsidP="001C70FF">
            <w:pPr>
              <w:pStyle w:val="af"/>
              <w:numPr>
                <w:ilvl w:val="0"/>
                <w:numId w:val="27"/>
              </w:numPr>
              <w:spacing w:line="360" w:lineRule="exact"/>
              <w:ind w:firstLineChars="0"/>
              <w:rPr>
                <w:rFonts w:ascii="標楷體" w:hAnsi="標楷體"/>
                <w:sz w:val="24"/>
                <w:u w:val="single"/>
              </w:rPr>
            </w:pPr>
            <w:r>
              <w:rPr>
                <w:rFonts w:ascii="標楷體" w:hAnsi="標楷體" w:hint="eastAsia"/>
                <w:sz w:val="24"/>
                <w:u w:val="single"/>
              </w:rPr>
              <w:t>本條</w:t>
            </w:r>
            <w:r w:rsidR="00C64AA6" w:rsidRPr="00B14D77">
              <w:rPr>
                <w:rFonts w:ascii="標楷體" w:hAnsi="標楷體" w:hint="eastAsia"/>
                <w:sz w:val="24"/>
                <w:u w:val="single"/>
              </w:rPr>
              <w:t>新增。</w:t>
            </w:r>
          </w:p>
          <w:p w:rsidR="00C64AA6" w:rsidRPr="000656F4" w:rsidRDefault="000656F4" w:rsidP="001C70FF">
            <w:pPr>
              <w:pStyle w:val="af"/>
              <w:numPr>
                <w:ilvl w:val="0"/>
                <w:numId w:val="27"/>
              </w:numPr>
              <w:spacing w:line="360" w:lineRule="exact"/>
              <w:ind w:firstLineChars="0"/>
              <w:rPr>
                <w:rFonts w:ascii="標楷體" w:hAnsi="標楷體"/>
                <w:sz w:val="24"/>
                <w:u w:val="single"/>
              </w:rPr>
            </w:pPr>
            <w:r>
              <w:rPr>
                <w:rFonts w:ascii="標楷體" w:hAnsi="標楷體" w:hint="eastAsia"/>
                <w:sz w:val="24"/>
              </w:rPr>
              <w:t>單獨宣告沒收，為國家以裁判剝奪人民財產之強制處分，係針對財產之制裁手段，自應由代表國家之檢察官聲請法院為之</w:t>
            </w:r>
            <w:r w:rsidR="008B0E6E">
              <w:rPr>
                <w:rFonts w:ascii="標楷體" w:hAnsi="標楷體" w:hint="eastAsia"/>
                <w:sz w:val="24"/>
              </w:rPr>
              <w:t>。</w:t>
            </w:r>
            <w:r w:rsidR="00990260">
              <w:rPr>
                <w:rFonts w:ascii="標楷體" w:hAnsi="標楷體" w:hint="eastAsia"/>
                <w:sz w:val="24"/>
              </w:rPr>
              <w:t>又基於沒收須以刑事違法行為存在為前提，及為保全</w:t>
            </w:r>
            <w:r w:rsidRPr="000656F4">
              <w:rPr>
                <w:rFonts w:ascii="標楷體" w:hAnsi="標楷體" w:hint="eastAsia"/>
                <w:sz w:val="24"/>
              </w:rPr>
              <w:t>沒收標的之考量</w:t>
            </w:r>
            <w:r w:rsidR="00990260">
              <w:rPr>
                <w:rFonts w:ascii="標楷體" w:hAnsi="標楷體" w:hint="eastAsia"/>
                <w:sz w:val="24"/>
              </w:rPr>
              <w:t>，其管轄法院亦應有所規範。</w:t>
            </w:r>
            <w:r w:rsidRPr="000656F4">
              <w:rPr>
                <w:rFonts w:ascii="標楷體" w:hAnsi="標楷體" w:hint="eastAsia"/>
                <w:sz w:val="24"/>
              </w:rPr>
              <w:t>爰參考本法關於追訴犯罪土地管轄之規定及德國刑事訴訟法第四百四十一條第一項之立法例，增訂本條。</w:t>
            </w:r>
          </w:p>
        </w:tc>
      </w:tr>
      <w:tr w:rsidR="00C64AA6" w:rsidRPr="003873F6" w:rsidTr="00111886">
        <w:trPr>
          <w:trHeight w:val="1"/>
        </w:trPr>
        <w:tc>
          <w:tcPr>
            <w:tcW w:w="1775" w:type="pct"/>
            <w:tcMar>
              <w:left w:w="0" w:type="dxa"/>
              <w:right w:w="0" w:type="dxa"/>
            </w:tcMar>
          </w:tcPr>
          <w:p w:rsidR="00C64AA6" w:rsidRPr="00B14D77" w:rsidRDefault="000A0600" w:rsidP="00A3540D">
            <w:pPr>
              <w:snapToGrid w:val="0"/>
              <w:ind w:left="240" w:hanging="240"/>
              <w:jc w:val="both"/>
              <w:rPr>
                <w:rFonts w:ascii="標楷體" w:eastAsia="標楷體" w:hAnsi="標楷體" w:cs="標楷體"/>
                <w:kern w:val="0"/>
              </w:rPr>
            </w:pPr>
            <w:r>
              <w:rPr>
                <w:rFonts w:ascii="標楷體" w:eastAsia="標楷體" w:hAnsi="標楷體" w:hint="eastAsia"/>
                <w:kern w:val="0"/>
              </w:rPr>
              <w:t>第四百五十五條之三十五</w:t>
            </w:r>
            <w:r w:rsidR="00C64AA6" w:rsidRPr="00B14D77">
              <w:rPr>
                <w:rFonts w:ascii="標楷體" w:eastAsia="標楷體" w:hAnsi="標楷體"/>
                <w:kern w:val="0"/>
              </w:rPr>
              <w:t xml:space="preserve">  </w:t>
            </w:r>
            <w:r w:rsidR="00C64AA6" w:rsidRPr="00B14D77">
              <w:rPr>
                <w:rFonts w:ascii="標楷體" w:eastAsia="標楷體" w:hAnsi="標楷體" w:hint="eastAsia"/>
                <w:kern w:val="0"/>
              </w:rPr>
              <w:t>前條聲請，檢察官應以書狀記載下列事項，提出於管轄法院為之：</w:t>
            </w:r>
          </w:p>
          <w:p w:rsidR="00C64AA6" w:rsidRPr="00B14D77" w:rsidRDefault="00C64AA6" w:rsidP="00A3540D">
            <w:pPr>
              <w:pStyle w:val="aa"/>
              <w:snapToGrid w:val="0"/>
              <w:ind w:leftChars="100" w:left="720" w:hangingChars="200" w:hanging="480"/>
              <w:jc w:val="both"/>
              <w:rPr>
                <w:rFonts w:ascii="標楷體" w:eastAsia="標楷體" w:hAnsi="標楷體" w:cs="標楷體"/>
                <w:kern w:val="0"/>
              </w:rPr>
            </w:pPr>
            <w:r w:rsidRPr="00B14D77">
              <w:rPr>
                <w:rFonts w:ascii="標楷體" w:eastAsia="標楷體" w:hAnsi="標楷體" w:cs="標楷體" w:hint="eastAsia"/>
                <w:kern w:val="0"/>
              </w:rPr>
              <w:t>一、應沒收財產之財產所有人姓名、性別、出生年月日、住居所、身分證明文件編號或其他足資辨別之特徵。但財產所有人不明時，得不予記載。</w:t>
            </w:r>
          </w:p>
          <w:p w:rsidR="00C64AA6" w:rsidRPr="00B14D77" w:rsidRDefault="00C64AA6" w:rsidP="00A3540D">
            <w:pPr>
              <w:pStyle w:val="aa"/>
              <w:snapToGrid w:val="0"/>
              <w:ind w:leftChars="100" w:left="720" w:hangingChars="200" w:hanging="480"/>
              <w:jc w:val="both"/>
              <w:rPr>
                <w:rFonts w:ascii="標楷體" w:eastAsia="標楷體" w:hAnsi="標楷體" w:cs="標楷體"/>
                <w:kern w:val="0"/>
              </w:rPr>
            </w:pPr>
            <w:r w:rsidRPr="00B14D77">
              <w:rPr>
                <w:rFonts w:ascii="標楷體" w:eastAsia="標楷體" w:hAnsi="標楷體" w:cs="標楷體" w:hint="eastAsia"/>
                <w:kern w:val="0"/>
              </w:rPr>
              <w:t>二、應沒收財產之名稱、種類、數量及其他足以特定</w:t>
            </w:r>
            <w:r w:rsidRPr="00B14D77">
              <w:rPr>
                <w:rFonts w:ascii="標楷體" w:eastAsia="標楷體" w:hAnsi="標楷體" w:cs="標楷體" w:hint="eastAsia"/>
                <w:kern w:val="0"/>
              </w:rPr>
              <w:lastRenderedPageBreak/>
              <w:t>沒收物或財產上利益之事項。</w:t>
            </w:r>
          </w:p>
          <w:p w:rsidR="00C64AA6" w:rsidRPr="00B14D77" w:rsidRDefault="00C64AA6" w:rsidP="00A3540D">
            <w:pPr>
              <w:pStyle w:val="aa"/>
              <w:snapToGrid w:val="0"/>
              <w:ind w:leftChars="100" w:left="720" w:hangingChars="200" w:hanging="480"/>
              <w:jc w:val="both"/>
              <w:rPr>
                <w:rFonts w:ascii="標楷體" w:eastAsia="標楷體" w:hAnsi="標楷體" w:cs="標楷體"/>
                <w:kern w:val="0"/>
              </w:rPr>
            </w:pPr>
            <w:r w:rsidRPr="00B14D77">
              <w:rPr>
                <w:rFonts w:ascii="標楷體" w:eastAsia="標楷體" w:hAnsi="標楷體" w:cs="標楷體" w:hint="eastAsia"/>
                <w:kern w:val="0"/>
              </w:rPr>
              <w:t>三、應沒收財產所由來之違法事實及證據並所涉法條。</w:t>
            </w:r>
          </w:p>
          <w:p w:rsidR="00C64AA6" w:rsidRPr="00B14D77" w:rsidRDefault="00C64AA6" w:rsidP="00A3540D">
            <w:pPr>
              <w:pStyle w:val="aa"/>
              <w:snapToGrid w:val="0"/>
              <w:ind w:leftChars="100" w:left="720" w:hangingChars="200" w:hanging="480"/>
              <w:jc w:val="both"/>
              <w:rPr>
                <w:rFonts w:ascii="標楷體" w:eastAsia="標楷體" w:hAnsi="標楷體" w:cs="標楷體"/>
                <w:kern w:val="0"/>
              </w:rPr>
            </w:pPr>
            <w:r w:rsidRPr="00B14D77">
              <w:rPr>
                <w:rFonts w:ascii="標楷體" w:eastAsia="標楷體" w:hAnsi="標楷體" w:cs="標楷體" w:hint="eastAsia"/>
                <w:kern w:val="0"/>
              </w:rPr>
              <w:t>四、構成單獨宣告沒收理由之事實及證據。</w:t>
            </w:r>
          </w:p>
          <w:p w:rsidR="00C64AA6" w:rsidRPr="00B14D77" w:rsidRDefault="00C64AA6" w:rsidP="00A3540D">
            <w:pPr>
              <w:snapToGrid w:val="0"/>
              <w:ind w:leftChars="100" w:left="240" w:firstLineChars="200" w:firstLine="480"/>
              <w:jc w:val="both"/>
              <w:rPr>
                <w:rFonts w:ascii="標楷體" w:eastAsia="標楷體" w:hAnsi="標楷體" w:cs="標楷體"/>
                <w:kern w:val="0"/>
              </w:rPr>
            </w:pPr>
            <w:r w:rsidRPr="00B14D77">
              <w:rPr>
                <w:rFonts w:ascii="標楷體" w:eastAsia="標楷體" w:hAnsi="標楷體" w:hint="eastAsia"/>
                <w:kern w:val="0"/>
              </w:rPr>
              <w:t>檢察官就前項第二款至第四款之事項，應負舉證責任。</w:t>
            </w:r>
          </w:p>
        </w:tc>
        <w:tc>
          <w:tcPr>
            <w:tcW w:w="1610" w:type="pct"/>
            <w:tcMar>
              <w:left w:w="0" w:type="dxa"/>
              <w:right w:w="0" w:type="dxa"/>
            </w:tcMar>
          </w:tcPr>
          <w:p w:rsidR="00C64AA6" w:rsidRPr="00B14D77" w:rsidRDefault="00C64AA6" w:rsidP="00A3540D">
            <w:pPr>
              <w:snapToGrid w:val="0"/>
              <w:ind w:left="240" w:hanging="240"/>
              <w:jc w:val="both"/>
              <w:rPr>
                <w:rFonts w:ascii="標楷體" w:eastAsia="標楷體" w:hAnsi="標楷體"/>
              </w:rPr>
            </w:pPr>
          </w:p>
        </w:tc>
        <w:tc>
          <w:tcPr>
            <w:tcW w:w="1615" w:type="pct"/>
          </w:tcPr>
          <w:p w:rsidR="00C64AA6" w:rsidRDefault="000A0600" w:rsidP="001C70FF">
            <w:pPr>
              <w:pStyle w:val="af"/>
              <w:numPr>
                <w:ilvl w:val="0"/>
                <w:numId w:val="28"/>
              </w:numPr>
              <w:spacing w:line="360" w:lineRule="exact"/>
              <w:ind w:firstLineChars="0"/>
              <w:rPr>
                <w:rFonts w:ascii="標楷體" w:hAnsi="標楷體"/>
                <w:sz w:val="24"/>
                <w:u w:val="single"/>
              </w:rPr>
            </w:pPr>
            <w:r>
              <w:rPr>
                <w:rFonts w:ascii="標楷體" w:hAnsi="標楷體" w:hint="eastAsia"/>
                <w:sz w:val="24"/>
                <w:u w:val="single"/>
              </w:rPr>
              <w:t>本條</w:t>
            </w:r>
            <w:r w:rsidR="00C64AA6" w:rsidRPr="00B14D77">
              <w:rPr>
                <w:rFonts w:ascii="標楷體" w:hAnsi="標楷體" w:hint="eastAsia"/>
                <w:sz w:val="24"/>
                <w:u w:val="single"/>
              </w:rPr>
              <w:t>新增。</w:t>
            </w:r>
          </w:p>
          <w:p w:rsidR="000A0600" w:rsidRPr="000A0600" w:rsidRDefault="000A0600" w:rsidP="001C70FF">
            <w:pPr>
              <w:pStyle w:val="af"/>
              <w:numPr>
                <w:ilvl w:val="0"/>
                <w:numId w:val="28"/>
              </w:numPr>
              <w:spacing w:line="360" w:lineRule="exact"/>
              <w:ind w:firstLineChars="0"/>
              <w:rPr>
                <w:rFonts w:ascii="標楷體" w:hAnsi="標楷體"/>
                <w:sz w:val="24"/>
                <w:u w:val="single"/>
              </w:rPr>
            </w:pPr>
            <w:r w:rsidRPr="000A0600">
              <w:rPr>
                <w:rFonts w:ascii="標楷體" w:hAnsi="標楷體"/>
                <w:sz w:val="24"/>
              </w:rPr>
              <w:t>聲請</w:t>
            </w:r>
            <w:r w:rsidRPr="000A0600">
              <w:rPr>
                <w:rFonts w:ascii="標楷體" w:hAnsi="標楷體" w:hint="eastAsia"/>
                <w:sz w:val="24"/>
              </w:rPr>
              <w:t>單獨宣告沒收，</w:t>
            </w:r>
            <w:r w:rsidRPr="000A0600">
              <w:rPr>
                <w:rFonts w:ascii="標楷體" w:hAnsi="標楷體"/>
                <w:sz w:val="24"/>
              </w:rPr>
              <w:t>為慎重其程序，且使法院</w:t>
            </w:r>
            <w:r w:rsidRPr="000A0600">
              <w:rPr>
                <w:rFonts w:ascii="標楷體" w:hAnsi="標楷體" w:hint="eastAsia"/>
                <w:sz w:val="24"/>
              </w:rPr>
              <w:t>明瞭須以單獨宣告之方式沒收財產之原因，檢察官聲請時，自應以書狀記載沒收之對象、標的，及其所由來之刑</w:t>
            </w:r>
            <w:r>
              <w:rPr>
                <w:rFonts w:ascii="標楷體" w:hAnsi="標楷體" w:hint="eastAsia"/>
                <w:sz w:val="24"/>
              </w:rPr>
              <w:t>事違法事實、構成單獨宣告之依據等事項與相關證據，提出於管</w:t>
            </w:r>
            <w:r>
              <w:rPr>
                <w:rFonts w:ascii="標楷體" w:hAnsi="標楷體" w:hint="eastAsia"/>
                <w:sz w:val="24"/>
              </w:rPr>
              <w:lastRenderedPageBreak/>
              <w:t>轄法院。</w:t>
            </w:r>
            <w:r w:rsidRPr="000A0600">
              <w:rPr>
                <w:rFonts w:ascii="標楷體" w:hAnsi="標楷體" w:hint="eastAsia"/>
                <w:sz w:val="24"/>
              </w:rPr>
              <w:t>爰</w:t>
            </w:r>
            <w:r w:rsidRPr="000A0600">
              <w:rPr>
                <w:rFonts w:ascii="標楷體" w:hAnsi="標楷體"/>
                <w:sz w:val="24"/>
              </w:rPr>
              <w:t>參考</w:t>
            </w:r>
            <w:r w:rsidRPr="000A0600">
              <w:rPr>
                <w:rFonts w:ascii="標楷體" w:hAnsi="標楷體" w:hint="eastAsia"/>
                <w:sz w:val="24"/>
              </w:rPr>
              <w:t>德國刑事訴訟法第四百四十條第二項後段、第二百條之立法例</w:t>
            </w:r>
            <w:r w:rsidRPr="000A0600">
              <w:rPr>
                <w:rFonts w:ascii="標楷體" w:hAnsi="標楷體"/>
                <w:sz w:val="24"/>
              </w:rPr>
              <w:t>，</w:t>
            </w:r>
            <w:r w:rsidRPr="000A0600">
              <w:rPr>
                <w:rFonts w:ascii="標楷體" w:hAnsi="標楷體" w:hint="eastAsia"/>
                <w:sz w:val="24"/>
              </w:rPr>
              <w:t>於本條第一項增訂聲請單獨宣告沒收之程式規定</w:t>
            </w:r>
            <w:r w:rsidRPr="000A0600">
              <w:rPr>
                <w:rFonts w:ascii="標楷體" w:hAnsi="標楷體"/>
                <w:sz w:val="24"/>
              </w:rPr>
              <w:t>。</w:t>
            </w:r>
          </w:p>
          <w:p w:rsidR="00C64AA6" w:rsidRPr="000A0600" w:rsidRDefault="000A0600" w:rsidP="001C70FF">
            <w:pPr>
              <w:pStyle w:val="af"/>
              <w:numPr>
                <w:ilvl w:val="0"/>
                <w:numId w:val="28"/>
              </w:numPr>
              <w:spacing w:line="360" w:lineRule="exact"/>
              <w:ind w:firstLineChars="0"/>
              <w:rPr>
                <w:rFonts w:ascii="標楷體" w:hAnsi="標楷體"/>
                <w:sz w:val="24"/>
                <w:u w:val="single"/>
              </w:rPr>
            </w:pPr>
            <w:r w:rsidRPr="000A0600">
              <w:rPr>
                <w:rFonts w:ascii="標楷體" w:hAnsi="標楷體" w:hint="eastAsia"/>
                <w:sz w:val="24"/>
              </w:rPr>
              <w:t>聲請法院沒收人民財產，係對憲法所保障人民財產基本權之侵害，其前提之違法事實、</w:t>
            </w:r>
            <w:r w:rsidRPr="000A0600">
              <w:rPr>
                <w:rFonts w:ascii="標楷體" w:hAnsi="標楷體" w:hint="eastAsia"/>
                <w:kern w:val="0"/>
                <w:sz w:val="24"/>
              </w:rPr>
              <w:t>應沒收財產</w:t>
            </w:r>
            <w:r w:rsidRPr="000A0600">
              <w:rPr>
                <w:rFonts w:ascii="標楷體" w:hAnsi="標楷體"/>
                <w:sz w:val="24"/>
              </w:rPr>
              <w:t>之</w:t>
            </w:r>
            <w:r w:rsidRPr="000A0600">
              <w:rPr>
                <w:rFonts w:ascii="標楷體" w:hAnsi="標楷體" w:hint="eastAsia"/>
                <w:sz w:val="24"/>
              </w:rPr>
              <w:t>名稱、種類及數量及</w:t>
            </w:r>
            <w:r w:rsidRPr="000A0600">
              <w:rPr>
                <w:rFonts w:ascii="標楷體" w:hAnsi="標楷體"/>
                <w:sz w:val="24"/>
              </w:rPr>
              <w:t>應</w:t>
            </w:r>
            <w:r w:rsidRPr="000A0600">
              <w:rPr>
                <w:rFonts w:ascii="標楷體" w:hAnsi="標楷體" w:hint="eastAsia"/>
                <w:sz w:val="24"/>
              </w:rPr>
              <w:t>沒收財產</w:t>
            </w:r>
            <w:r w:rsidRPr="000A0600">
              <w:rPr>
                <w:rFonts w:ascii="標楷體" w:hAnsi="標楷體" w:hint="eastAsia"/>
                <w:kern w:val="0"/>
                <w:sz w:val="24"/>
              </w:rPr>
              <w:t>與違法事實之關聯性等各項</w:t>
            </w:r>
            <w:r w:rsidRPr="000A0600">
              <w:rPr>
                <w:rFonts w:ascii="標楷體" w:hAnsi="標楷體" w:hint="eastAsia"/>
                <w:sz w:val="24"/>
              </w:rPr>
              <w:t>，自</w:t>
            </w:r>
            <w:r w:rsidRPr="000A0600">
              <w:rPr>
                <w:rFonts w:ascii="標楷體" w:hAnsi="標楷體"/>
                <w:sz w:val="24"/>
              </w:rPr>
              <w:t>應由檢察官負舉證責任</w:t>
            </w:r>
            <w:r>
              <w:rPr>
                <w:rFonts w:ascii="標楷體" w:hAnsi="標楷體" w:hint="eastAsia"/>
                <w:sz w:val="24"/>
              </w:rPr>
              <w:t>，</w:t>
            </w:r>
            <w:r w:rsidRPr="000A0600">
              <w:rPr>
                <w:rFonts w:ascii="標楷體" w:hAnsi="標楷體"/>
                <w:sz w:val="24"/>
              </w:rPr>
              <w:t>爰</w:t>
            </w:r>
            <w:r w:rsidRPr="000A0600">
              <w:rPr>
                <w:rFonts w:ascii="標楷體" w:hAnsi="標楷體" w:hint="eastAsia"/>
                <w:sz w:val="24"/>
              </w:rPr>
              <w:t>增訂本條第二項。</w:t>
            </w:r>
          </w:p>
        </w:tc>
      </w:tr>
      <w:tr w:rsidR="00C64AA6" w:rsidRPr="003873F6" w:rsidTr="00111886">
        <w:trPr>
          <w:trHeight w:val="1"/>
        </w:trPr>
        <w:tc>
          <w:tcPr>
            <w:tcW w:w="1775" w:type="pct"/>
            <w:shd w:val="clear" w:color="000000" w:fill="FFFFFF"/>
            <w:tcMar>
              <w:left w:w="0" w:type="dxa"/>
              <w:right w:w="0" w:type="dxa"/>
            </w:tcMar>
          </w:tcPr>
          <w:p w:rsidR="00C64AA6" w:rsidRPr="00B14D77" w:rsidRDefault="000B28C9" w:rsidP="00A3540D">
            <w:pPr>
              <w:snapToGrid w:val="0"/>
              <w:ind w:left="256" w:hanging="256"/>
              <w:jc w:val="both"/>
              <w:rPr>
                <w:rFonts w:ascii="標楷體" w:eastAsia="標楷體" w:hAnsi="標楷體" w:cs="標楷體"/>
              </w:rPr>
            </w:pPr>
            <w:r>
              <w:rPr>
                <w:rFonts w:ascii="標楷體" w:eastAsia="標楷體" w:hAnsi="標楷體" w:cs="標楷體" w:hint="eastAsia"/>
              </w:rPr>
              <w:lastRenderedPageBreak/>
              <w:t>第四百五十五條之三十六</w:t>
            </w:r>
            <w:r w:rsidR="00C64AA6" w:rsidRPr="00B14D77">
              <w:rPr>
                <w:rFonts w:ascii="標楷體" w:eastAsia="標楷體" w:hAnsi="標楷體" w:cs="標楷體"/>
              </w:rPr>
              <w:t xml:space="preserve">  </w:t>
            </w:r>
            <w:r w:rsidR="00C64AA6" w:rsidRPr="00B14D77">
              <w:rPr>
                <w:rFonts w:ascii="標楷體" w:eastAsia="標楷體" w:hAnsi="標楷體" w:cs="標楷體" w:hint="eastAsia"/>
              </w:rPr>
              <w:t>法院認為單獨宣告沒收之聲請不合法律上之程式或法律上不應准許或無理由者，應以裁定駁回之。但其不合法律上之程式可以補正者，應定期間先命補正。</w:t>
            </w:r>
          </w:p>
          <w:p w:rsidR="00C64AA6" w:rsidRPr="00B14D77" w:rsidRDefault="00C64AA6" w:rsidP="00A3540D">
            <w:pPr>
              <w:snapToGrid w:val="0"/>
              <w:ind w:leftChars="105" w:left="252" w:firstLineChars="200" w:firstLine="480"/>
              <w:jc w:val="both"/>
              <w:rPr>
                <w:rFonts w:ascii="標楷體" w:eastAsia="標楷體" w:hAnsi="標楷體" w:cs="標楷體"/>
              </w:rPr>
            </w:pPr>
            <w:r w:rsidRPr="00B14D77">
              <w:rPr>
                <w:rFonts w:ascii="標楷體" w:eastAsia="標楷體" w:hAnsi="標楷體" w:cs="標楷體" w:hint="eastAsia"/>
              </w:rPr>
              <w:t>法院認為聲請</w:t>
            </w:r>
            <w:r w:rsidR="00A32739" w:rsidRPr="00B14D77">
              <w:rPr>
                <w:rFonts w:ascii="標楷體" w:eastAsia="標楷體" w:hAnsi="標楷體" w:cs="標楷體" w:hint="eastAsia"/>
              </w:rPr>
              <w:t>單獨宣告沒收</w:t>
            </w:r>
            <w:r w:rsidRPr="00B14D77">
              <w:rPr>
                <w:rFonts w:ascii="標楷體" w:eastAsia="標楷體" w:hAnsi="標楷體" w:cs="標楷體" w:hint="eastAsia"/>
              </w:rPr>
              <w:t>有理由者，應為准許之裁定。</w:t>
            </w:r>
          </w:p>
          <w:p w:rsidR="00C64AA6" w:rsidRPr="00B14D77" w:rsidRDefault="007430E3" w:rsidP="00A3540D">
            <w:pPr>
              <w:snapToGrid w:val="0"/>
              <w:ind w:leftChars="105" w:left="252" w:firstLineChars="200" w:firstLine="480"/>
              <w:jc w:val="both"/>
              <w:rPr>
                <w:rFonts w:ascii="標楷體" w:eastAsia="標楷體" w:hAnsi="標楷體" w:cs="標楷體"/>
                <w:kern w:val="0"/>
              </w:rPr>
            </w:pPr>
            <w:r>
              <w:rPr>
                <w:rFonts w:ascii="標楷體" w:eastAsia="標楷體" w:hAnsi="標楷體" w:cs="標楷體" w:hint="eastAsia"/>
              </w:rPr>
              <w:t>對於前</w:t>
            </w:r>
            <w:r w:rsidRPr="0076099D">
              <w:rPr>
                <w:rFonts w:ascii="標楷體" w:eastAsia="標楷體" w:hAnsi="標楷體" w:cs="標楷體" w:hint="eastAsia"/>
              </w:rPr>
              <w:t>二</w:t>
            </w:r>
            <w:r w:rsidR="00C64AA6" w:rsidRPr="00B14D77">
              <w:rPr>
                <w:rFonts w:ascii="標楷體" w:eastAsia="標楷體" w:hAnsi="標楷體" w:cs="標楷體" w:hint="eastAsia"/>
              </w:rPr>
              <w:t>項抗告法院之裁定，得提起再抗告。</w:t>
            </w:r>
          </w:p>
        </w:tc>
        <w:tc>
          <w:tcPr>
            <w:tcW w:w="1610" w:type="pct"/>
            <w:shd w:val="clear" w:color="000000" w:fill="FFFFFF"/>
            <w:tcMar>
              <w:left w:w="0" w:type="dxa"/>
              <w:right w:w="0" w:type="dxa"/>
            </w:tcMar>
          </w:tcPr>
          <w:p w:rsidR="00C64AA6" w:rsidRPr="00B14D77" w:rsidRDefault="00C64AA6" w:rsidP="00A3540D">
            <w:pPr>
              <w:pStyle w:val="1"/>
              <w:snapToGrid w:val="0"/>
              <w:ind w:leftChars="0" w:left="0"/>
              <w:jc w:val="both"/>
              <w:rPr>
                <w:rFonts w:ascii="標楷體" w:eastAsia="標楷體" w:hAnsi="標楷體"/>
                <w:u w:val="single"/>
              </w:rPr>
            </w:pPr>
          </w:p>
        </w:tc>
        <w:tc>
          <w:tcPr>
            <w:tcW w:w="1615" w:type="pct"/>
            <w:shd w:val="clear" w:color="000000" w:fill="FFFFFF"/>
          </w:tcPr>
          <w:p w:rsidR="00C64AA6" w:rsidRDefault="000B28C9" w:rsidP="001C70FF">
            <w:pPr>
              <w:pStyle w:val="af"/>
              <w:numPr>
                <w:ilvl w:val="0"/>
                <w:numId w:val="29"/>
              </w:numPr>
              <w:spacing w:line="360" w:lineRule="exact"/>
              <w:ind w:firstLineChars="0"/>
              <w:rPr>
                <w:rFonts w:ascii="標楷體" w:hAnsi="標楷體"/>
                <w:sz w:val="24"/>
                <w:u w:val="single"/>
              </w:rPr>
            </w:pPr>
            <w:r>
              <w:rPr>
                <w:rFonts w:ascii="標楷體" w:hAnsi="標楷體" w:hint="eastAsia"/>
                <w:sz w:val="24"/>
                <w:u w:val="single"/>
              </w:rPr>
              <w:t>本條</w:t>
            </w:r>
            <w:r w:rsidR="00C64AA6" w:rsidRPr="00B14D77">
              <w:rPr>
                <w:rFonts w:ascii="標楷體" w:hAnsi="標楷體" w:hint="eastAsia"/>
                <w:sz w:val="24"/>
                <w:u w:val="single"/>
              </w:rPr>
              <w:t>新增。</w:t>
            </w:r>
          </w:p>
          <w:p w:rsidR="000B28C9" w:rsidRPr="000B28C9" w:rsidRDefault="000B28C9" w:rsidP="001C70FF">
            <w:pPr>
              <w:pStyle w:val="af"/>
              <w:numPr>
                <w:ilvl w:val="0"/>
                <w:numId w:val="29"/>
              </w:numPr>
              <w:spacing w:line="360" w:lineRule="exact"/>
              <w:ind w:firstLineChars="0"/>
              <w:rPr>
                <w:rFonts w:ascii="標楷體" w:hAnsi="標楷體"/>
                <w:sz w:val="24"/>
                <w:u w:val="single"/>
              </w:rPr>
            </w:pPr>
            <w:r w:rsidRPr="000B28C9">
              <w:rPr>
                <w:rFonts w:ascii="標楷體" w:hAnsi="標楷體" w:cs="標楷體" w:hint="eastAsia"/>
                <w:bCs/>
                <w:kern w:val="0"/>
                <w:sz w:val="24"/>
              </w:rPr>
              <w:t>法院受理</w:t>
            </w:r>
            <w:r w:rsidRPr="000B28C9">
              <w:rPr>
                <w:rFonts w:ascii="標楷體" w:hAnsi="標楷體" w:cs="標楷體" w:hint="eastAsia"/>
                <w:kern w:val="0"/>
                <w:sz w:val="24"/>
              </w:rPr>
              <w:t>單獨宣告沒收之聲請</w:t>
            </w:r>
            <w:r w:rsidRPr="000B28C9">
              <w:rPr>
                <w:rFonts w:ascii="標楷體" w:hAnsi="標楷體" w:cs="標楷體" w:hint="eastAsia"/>
                <w:sz w:val="24"/>
              </w:rPr>
              <w:t>，</w:t>
            </w:r>
            <w:r w:rsidRPr="000B28C9">
              <w:rPr>
                <w:rFonts w:ascii="標楷體" w:hAnsi="標楷體" w:cs="標楷體" w:hint="eastAsia"/>
                <w:bCs/>
                <w:sz w:val="24"/>
              </w:rPr>
              <w:t>認為聲請有不合法律上之程式或法律上不應准許等不合法情形，或無理由者，應即以裁定駁回之。但其不合法律上之程式可以補正者，應定期間先命補正，</w:t>
            </w:r>
            <w:r w:rsidRPr="000B28C9">
              <w:rPr>
                <w:rFonts w:ascii="標楷體" w:hAnsi="標楷體" w:cs="標楷體" w:hint="eastAsia"/>
                <w:sz w:val="24"/>
              </w:rPr>
              <w:t>爰</w:t>
            </w:r>
            <w:r w:rsidRPr="000B28C9">
              <w:rPr>
                <w:rFonts w:ascii="標楷體" w:hAnsi="標楷體" w:cs="標楷體" w:hint="eastAsia"/>
                <w:bCs/>
                <w:sz w:val="24"/>
              </w:rPr>
              <w:t>於</w:t>
            </w:r>
            <w:r w:rsidRPr="000B28C9">
              <w:rPr>
                <w:rFonts w:ascii="標楷體" w:hAnsi="標楷體" w:cs="標楷體" w:hint="eastAsia"/>
                <w:sz w:val="24"/>
              </w:rPr>
              <w:t>本條第一項規定</w:t>
            </w:r>
            <w:r w:rsidRPr="000B28C9">
              <w:rPr>
                <w:rFonts w:ascii="標楷體" w:hAnsi="標楷體" w:cs="標楷體" w:hint="eastAsia"/>
                <w:bCs/>
                <w:sz w:val="24"/>
              </w:rPr>
              <w:t>之</w:t>
            </w:r>
            <w:r w:rsidRPr="000B28C9">
              <w:rPr>
                <w:rFonts w:ascii="標楷體" w:hAnsi="標楷體" w:cs="標楷體" w:hint="eastAsia"/>
                <w:sz w:val="24"/>
              </w:rPr>
              <w:t>。</w:t>
            </w:r>
          </w:p>
          <w:p w:rsidR="000B28C9" w:rsidRPr="000B28C9" w:rsidRDefault="000B28C9" w:rsidP="001C70FF">
            <w:pPr>
              <w:pStyle w:val="af"/>
              <w:numPr>
                <w:ilvl w:val="0"/>
                <w:numId w:val="29"/>
              </w:numPr>
              <w:spacing w:line="360" w:lineRule="exact"/>
              <w:ind w:firstLineChars="0"/>
              <w:rPr>
                <w:rFonts w:ascii="標楷體" w:hAnsi="標楷體"/>
                <w:sz w:val="24"/>
                <w:u w:val="single"/>
              </w:rPr>
            </w:pPr>
            <w:r w:rsidRPr="000B28C9">
              <w:rPr>
                <w:rFonts w:ascii="標楷體" w:hAnsi="標楷體" w:cs="標楷體" w:hint="eastAsia"/>
                <w:bCs/>
                <w:sz w:val="24"/>
              </w:rPr>
              <w:t>法院認為聲請有理由者，為使檢察官及應沒收財產</w:t>
            </w:r>
            <w:r w:rsidR="00904A70">
              <w:rPr>
                <w:rFonts w:ascii="標楷體" w:hAnsi="標楷體" w:cs="標楷體" w:hint="eastAsia"/>
                <w:bCs/>
                <w:sz w:val="24"/>
              </w:rPr>
              <w:t>之</w:t>
            </w:r>
            <w:r w:rsidRPr="000B28C9">
              <w:rPr>
                <w:rFonts w:ascii="標楷體" w:hAnsi="標楷體" w:cs="標楷體" w:hint="eastAsia"/>
                <w:bCs/>
                <w:sz w:val="24"/>
              </w:rPr>
              <w:t>所有人知悉准許之意旨，亦應以裁定准許之，</w:t>
            </w:r>
            <w:r w:rsidRPr="000B28C9">
              <w:rPr>
                <w:rFonts w:ascii="標楷體" w:hAnsi="標楷體" w:cs="標楷體" w:hint="eastAsia"/>
                <w:sz w:val="24"/>
              </w:rPr>
              <w:t>爰</w:t>
            </w:r>
            <w:r w:rsidRPr="000B28C9">
              <w:rPr>
                <w:rFonts w:ascii="標楷體" w:hAnsi="標楷體" w:cs="標楷體" w:hint="eastAsia"/>
                <w:bCs/>
                <w:sz w:val="24"/>
              </w:rPr>
              <w:t>於</w:t>
            </w:r>
            <w:r w:rsidRPr="000B28C9">
              <w:rPr>
                <w:rFonts w:ascii="標楷體" w:hAnsi="標楷體" w:cs="標楷體" w:hint="eastAsia"/>
                <w:sz w:val="24"/>
              </w:rPr>
              <w:t>本條第二項</w:t>
            </w:r>
            <w:r w:rsidRPr="000B28C9">
              <w:rPr>
                <w:rFonts w:ascii="標楷體" w:hAnsi="標楷體" w:cs="標楷體" w:hint="eastAsia"/>
                <w:bCs/>
                <w:sz w:val="24"/>
              </w:rPr>
              <w:t>予以規定</w:t>
            </w:r>
            <w:r w:rsidRPr="000B28C9">
              <w:rPr>
                <w:rFonts w:ascii="標楷體" w:hAnsi="標楷體" w:cs="標楷體" w:hint="eastAsia"/>
                <w:sz w:val="24"/>
              </w:rPr>
              <w:t>。</w:t>
            </w:r>
          </w:p>
          <w:p w:rsidR="00C64AA6" w:rsidRPr="000B28C9" w:rsidRDefault="000B28C9" w:rsidP="001C70FF">
            <w:pPr>
              <w:pStyle w:val="af"/>
              <w:numPr>
                <w:ilvl w:val="0"/>
                <w:numId w:val="29"/>
              </w:numPr>
              <w:spacing w:line="360" w:lineRule="exact"/>
              <w:ind w:firstLineChars="0"/>
              <w:rPr>
                <w:rFonts w:ascii="標楷體" w:hAnsi="標楷體"/>
                <w:sz w:val="24"/>
                <w:u w:val="single"/>
              </w:rPr>
            </w:pPr>
            <w:r w:rsidRPr="000B28C9">
              <w:rPr>
                <w:rFonts w:hint="eastAsia"/>
                <w:sz w:val="24"/>
              </w:rPr>
              <w:t>本條第一、二項關於准否單獨宣告沒收之裁定，經抗告後，依本法第四百十五條規定，原不得再抗告，然其涉及被沒收財產所有人</w:t>
            </w:r>
            <w:r w:rsidR="008B0E6E">
              <w:rPr>
                <w:rFonts w:hint="eastAsia"/>
                <w:sz w:val="24"/>
              </w:rPr>
              <w:t>之</w:t>
            </w:r>
            <w:r w:rsidRPr="000B28C9">
              <w:rPr>
                <w:rFonts w:hint="eastAsia"/>
                <w:sz w:val="24"/>
              </w:rPr>
              <w:t>權益，對其利害關係重大，抗告法院裁定</w:t>
            </w:r>
            <w:r w:rsidRPr="000B28C9">
              <w:rPr>
                <w:rFonts w:hint="eastAsia"/>
                <w:sz w:val="24"/>
              </w:rPr>
              <w:lastRenderedPageBreak/>
              <w:t>後，應賦予再救濟之機會，爰</w:t>
            </w:r>
            <w:r w:rsidRPr="000B28C9">
              <w:rPr>
                <w:rFonts w:cs="標楷體" w:hint="eastAsia"/>
                <w:sz w:val="24"/>
              </w:rPr>
              <w:t>增訂本條第三項</w:t>
            </w:r>
            <w:r w:rsidR="00705304">
              <w:rPr>
                <w:rFonts w:cs="標楷體" w:hint="eastAsia"/>
                <w:sz w:val="24"/>
              </w:rPr>
              <w:t>。</w:t>
            </w:r>
          </w:p>
        </w:tc>
      </w:tr>
      <w:tr w:rsidR="00C64AA6" w:rsidRPr="001C70FF" w:rsidTr="00111886">
        <w:trPr>
          <w:trHeight w:val="1"/>
        </w:trPr>
        <w:tc>
          <w:tcPr>
            <w:tcW w:w="1775" w:type="pct"/>
            <w:shd w:val="clear" w:color="000000" w:fill="FFFFFF"/>
            <w:tcMar>
              <w:left w:w="0" w:type="dxa"/>
              <w:right w:w="0" w:type="dxa"/>
            </w:tcMar>
          </w:tcPr>
          <w:p w:rsidR="00C64AA6" w:rsidRPr="00B14D77" w:rsidRDefault="001C70FF" w:rsidP="00B84A36">
            <w:pPr>
              <w:snapToGrid w:val="0"/>
              <w:ind w:left="240" w:hanging="240"/>
              <w:jc w:val="both"/>
              <w:rPr>
                <w:rFonts w:ascii="標楷體" w:eastAsia="標楷體" w:hAnsi="標楷體" w:cs="標楷體"/>
                <w:kern w:val="0"/>
              </w:rPr>
            </w:pPr>
            <w:r>
              <w:rPr>
                <w:rFonts w:ascii="標楷體" w:eastAsia="標楷體" w:hAnsi="標楷體" w:cs="標楷體" w:hint="eastAsia"/>
                <w:kern w:val="0"/>
              </w:rPr>
              <w:lastRenderedPageBreak/>
              <w:t>第四百五十五條之三十七</w:t>
            </w:r>
            <w:r w:rsidR="00C64AA6" w:rsidRPr="00B14D77">
              <w:rPr>
                <w:rFonts w:ascii="標楷體" w:eastAsia="標楷體" w:hAnsi="標楷體" w:cs="標楷體"/>
                <w:kern w:val="0"/>
              </w:rPr>
              <w:t xml:space="preserve">  </w:t>
            </w:r>
            <w:r w:rsidR="00C64AA6" w:rsidRPr="00B14D77">
              <w:rPr>
                <w:rFonts w:ascii="標楷體" w:eastAsia="標楷體" w:hAnsi="標楷體" w:cs="標楷體" w:hint="eastAsia"/>
                <w:kern w:val="0"/>
              </w:rPr>
              <w:t>本編關於第三人參與沒收程序之規定，於單獨宣告沒收程序準用之。</w:t>
            </w:r>
          </w:p>
        </w:tc>
        <w:tc>
          <w:tcPr>
            <w:tcW w:w="1610" w:type="pct"/>
            <w:shd w:val="clear" w:color="000000" w:fill="FFFFFF"/>
            <w:tcMar>
              <w:left w:w="0" w:type="dxa"/>
              <w:right w:w="0" w:type="dxa"/>
            </w:tcMar>
          </w:tcPr>
          <w:p w:rsidR="00C64AA6" w:rsidRPr="00B14D77" w:rsidRDefault="00C64AA6" w:rsidP="00A3540D">
            <w:pPr>
              <w:pStyle w:val="1"/>
              <w:adjustRightInd w:val="0"/>
              <w:snapToGrid w:val="0"/>
              <w:ind w:leftChars="0" w:left="240"/>
              <w:jc w:val="both"/>
              <w:rPr>
                <w:rFonts w:ascii="標楷體" w:eastAsia="標楷體" w:hAnsi="標楷體" w:cs="標楷體"/>
              </w:rPr>
            </w:pPr>
          </w:p>
        </w:tc>
        <w:tc>
          <w:tcPr>
            <w:tcW w:w="1615" w:type="pct"/>
            <w:shd w:val="clear" w:color="000000" w:fill="FFFFFF"/>
          </w:tcPr>
          <w:p w:rsidR="00C64AA6" w:rsidRDefault="001C70FF" w:rsidP="001C70FF">
            <w:pPr>
              <w:pStyle w:val="af"/>
              <w:numPr>
                <w:ilvl w:val="0"/>
                <w:numId w:val="30"/>
              </w:numPr>
              <w:spacing w:line="360" w:lineRule="exact"/>
              <w:ind w:firstLineChars="0"/>
              <w:rPr>
                <w:rFonts w:ascii="標楷體" w:hAnsi="標楷體"/>
                <w:sz w:val="24"/>
                <w:u w:val="single"/>
              </w:rPr>
            </w:pPr>
            <w:r>
              <w:rPr>
                <w:rFonts w:ascii="標楷體" w:hAnsi="標楷體" w:hint="eastAsia"/>
                <w:sz w:val="24"/>
                <w:u w:val="single"/>
              </w:rPr>
              <w:t>本條</w:t>
            </w:r>
            <w:r w:rsidR="00C64AA6" w:rsidRPr="00B14D77">
              <w:rPr>
                <w:rFonts w:ascii="標楷體" w:hAnsi="標楷體" w:hint="eastAsia"/>
                <w:sz w:val="24"/>
                <w:u w:val="single"/>
              </w:rPr>
              <w:t>新增。</w:t>
            </w:r>
          </w:p>
          <w:p w:rsidR="00C64AA6" w:rsidRPr="001C70FF" w:rsidRDefault="001C70FF" w:rsidP="001C70FF">
            <w:pPr>
              <w:pStyle w:val="af"/>
              <w:numPr>
                <w:ilvl w:val="0"/>
                <w:numId w:val="30"/>
              </w:numPr>
              <w:spacing w:line="360" w:lineRule="exact"/>
              <w:ind w:firstLineChars="0"/>
              <w:rPr>
                <w:rFonts w:ascii="標楷體" w:hAnsi="標楷體"/>
                <w:sz w:val="24"/>
                <w:u w:val="single"/>
              </w:rPr>
            </w:pPr>
            <w:r w:rsidRPr="001C70FF">
              <w:rPr>
                <w:rFonts w:ascii="標楷體" w:hAnsi="標楷體" w:hint="eastAsia"/>
                <w:sz w:val="24"/>
              </w:rPr>
              <w:t>單獨宣告沒收程序，雖未如參與沒收程序附隨於刑事本案訴訟，對沒收人民財產之事項進行審理，然</w:t>
            </w:r>
            <w:r w:rsidR="00904A70">
              <w:rPr>
                <w:rFonts w:ascii="標楷體" w:hAnsi="標楷體" w:hint="eastAsia"/>
                <w:sz w:val="24"/>
              </w:rPr>
              <w:t>鑒於其</w:t>
            </w:r>
            <w:r w:rsidR="008B0E6E">
              <w:rPr>
                <w:rFonts w:ascii="標楷體" w:hAnsi="標楷體" w:hint="eastAsia"/>
                <w:sz w:val="24"/>
              </w:rPr>
              <w:t>係</w:t>
            </w:r>
            <w:r w:rsidRPr="001C70FF">
              <w:rPr>
                <w:rFonts w:ascii="標楷體" w:hAnsi="標楷體" w:hint="eastAsia"/>
                <w:sz w:val="24"/>
              </w:rPr>
              <w:t>法院以裁判沒收人民財產之程序規定，旨在提供人民程序保障，以符合憲法正當程序要求</w:t>
            </w:r>
            <w:r w:rsidR="00904A70">
              <w:rPr>
                <w:rFonts w:ascii="標楷體" w:hAnsi="標楷體" w:hint="eastAsia"/>
                <w:sz w:val="24"/>
              </w:rPr>
              <w:t>，</w:t>
            </w:r>
            <w:r w:rsidR="008B0E6E">
              <w:rPr>
                <w:rFonts w:ascii="標楷體" w:hAnsi="標楷體" w:hint="eastAsia"/>
                <w:sz w:val="24"/>
              </w:rPr>
              <w:t>就此本質以觀</w:t>
            </w:r>
            <w:r w:rsidRPr="001C70FF">
              <w:rPr>
                <w:rFonts w:ascii="標楷體" w:hAnsi="標楷體" w:hint="eastAsia"/>
                <w:sz w:val="24"/>
              </w:rPr>
              <w:t>，與參與沒收程序規定並無二致。</w:t>
            </w:r>
            <w:r w:rsidR="008B0E6E">
              <w:rPr>
                <w:rFonts w:ascii="標楷體" w:hAnsi="標楷體" w:hint="eastAsia"/>
                <w:sz w:val="24"/>
              </w:rPr>
              <w:t>是以</w:t>
            </w:r>
            <w:r w:rsidRPr="001C70FF">
              <w:rPr>
                <w:rFonts w:ascii="標楷體" w:hAnsi="標楷體" w:hint="eastAsia"/>
                <w:sz w:val="24"/>
              </w:rPr>
              <w:t>，有關參與沒收程序</w:t>
            </w:r>
            <w:r w:rsidR="00904A70">
              <w:rPr>
                <w:rFonts w:ascii="標楷體" w:hAnsi="標楷體" w:hint="eastAsia"/>
                <w:sz w:val="24"/>
              </w:rPr>
              <w:t>中參與人享有之訴訟上權利及撤銷沒收確定判決等</w:t>
            </w:r>
            <w:r w:rsidRPr="001C70FF">
              <w:rPr>
                <w:rFonts w:ascii="標楷體" w:hAnsi="標楷體" w:hint="eastAsia"/>
                <w:sz w:val="24"/>
              </w:rPr>
              <w:t>規定，於單獨宣告沒收程序應</w:t>
            </w:r>
            <w:r w:rsidR="008B0E6E">
              <w:rPr>
                <w:rFonts w:ascii="標楷體" w:hAnsi="標楷體" w:hint="eastAsia"/>
                <w:sz w:val="24"/>
              </w:rPr>
              <w:t>予</w:t>
            </w:r>
            <w:r w:rsidRPr="001C70FF">
              <w:rPr>
                <w:rFonts w:ascii="標楷體" w:hAnsi="標楷體" w:hint="eastAsia"/>
                <w:sz w:val="24"/>
              </w:rPr>
              <w:t>準用，爰增訂本條。</w:t>
            </w:r>
          </w:p>
        </w:tc>
      </w:tr>
      <w:tr w:rsidR="001C70FF" w:rsidRPr="001C70FF" w:rsidTr="00111886">
        <w:trPr>
          <w:trHeight w:val="1"/>
        </w:trPr>
        <w:tc>
          <w:tcPr>
            <w:tcW w:w="1775" w:type="pct"/>
            <w:shd w:val="clear" w:color="000000" w:fill="FFFFFF"/>
            <w:tcMar>
              <w:left w:w="0" w:type="dxa"/>
              <w:right w:w="0" w:type="dxa"/>
            </w:tcMar>
          </w:tcPr>
          <w:p w:rsidR="001C70FF" w:rsidRDefault="001C70FF" w:rsidP="004E46E9">
            <w:pPr>
              <w:ind w:left="240" w:hangingChars="100" w:hanging="240"/>
              <w:rPr>
                <w:rFonts w:ascii="標楷體" w:eastAsia="標楷體" w:hAnsi="標楷體"/>
                <w:kern w:val="0"/>
              </w:rPr>
            </w:pPr>
            <w:r>
              <w:rPr>
                <w:rFonts w:ascii="標楷體" w:eastAsia="標楷體" w:hAnsi="標楷體" w:cs="標楷體" w:hint="eastAsia"/>
                <w:kern w:val="0"/>
              </w:rPr>
              <w:t>第四百七十條</w:t>
            </w:r>
            <w:r w:rsidRPr="00B14D77">
              <w:rPr>
                <w:rFonts w:ascii="標楷體" w:eastAsia="標楷體" w:hAnsi="標楷體" w:cs="標楷體"/>
                <w:kern w:val="0"/>
              </w:rPr>
              <w:t xml:space="preserve">  </w:t>
            </w:r>
            <w:r>
              <w:rPr>
                <w:rFonts w:ascii="標楷體" w:eastAsia="標楷體" w:hAnsi="標楷體"/>
                <w:kern w:val="0"/>
              </w:rPr>
              <w:t>罰金、罰鍰</w:t>
            </w:r>
            <w:r w:rsidRPr="004222A7">
              <w:rPr>
                <w:rFonts w:ascii="標楷體" w:eastAsia="標楷體" w:hAnsi="標楷體" w:hint="eastAsia"/>
                <w:kern w:val="0"/>
              </w:rPr>
              <w:t>、</w:t>
            </w:r>
            <w:r w:rsidRPr="00ED6051">
              <w:rPr>
                <w:rFonts w:ascii="標楷體" w:eastAsia="標楷體" w:hAnsi="標楷體"/>
                <w:kern w:val="0"/>
              </w:rPr>
              <w:t>沒收</w:t>
            </w:r>
            <w:r w:rsidRPr="007430E3">
              <w:rPr>
                <w:rFonts w:ascii="標楷體" w:eastAsia="標楷體" w:hAnsi="標楷體" w:hint="eastAsia"/>
                <w:kern w:val="0"/>
                <w:u w:val="single"/>
              </w:rPr>
              <w:t>及</w:t>
            </w:r>
            <w:r>
              <w:rPr>
                <w:rFonts w:ascii="標楷體" w:eastAsia="標楷體" w:hAnsi="標楷體" w:hint="eastAsia"/>
                <w:kern w:val="0"/>
              </w:rPr>
              <w:t>沒入</w:t>
            </w:r>
            <w:r w:rsidRPr="00ED6051">
              <w:rPr>
                <w:rFonts w:ascii="標楷體" w:eastAsia="標楷體" w:hAnsi="標楷體"/>
                <w:kern w:val="0"/>
              </w:rPr>
              <w:t>之裁判，應依檢察官之命令執行之。但罰金、罰鍰於裁判宣示後，如經受裁判人同意而檢察官不在場者，得由法官當庭指揮執行。</w:t>
            </w:r>
          </w:p>
          <w:p w:rsidR="001C70FF" w:rsidRDefault="001C70FF" w:rsidP="004E46E9">
            <w:pPr>
              <w:ind w:leftChars="100" w:left="240" w:firstLineChars="200" w:firstLine="480"/>
              <w:rPr>
                <w:rFonts w:ascii="標楷體" w:eastAsia="標楷體" w:hAnsi="標楷體"/>
                <w:kern w:val="0"/>
              </w:rPr>
            </w:pPr>
            <w:r w:rsidRPr="00ED6051">
              <w:rPr>
                <w:rFonts w:ascii="標楷體" w:eastAsia="標楷體" w:hAnsi="標楷體"/>
                <w:kern w:val="0"/>
              </w:rPr>
              <w:t>前項命令與民事執行名義有同一之效力。</w:t>
            </w:r>
          </w:p>
          <w:p w:rsidR="001C70FF" w:rsidRDefault="001C70FF" w:rsidP="004E46E9">
            <w:pPr>
              <w:snapToGrid w:val="0"/>
              <w:ind w:leftChars="100" w:left="240" w:firstLineChars="200" w:firstLine="480"/>
              <w:jc w:val="both"/>
              <w:rPr>
                <w:rFonts w:ascii="標楷體" w:eastAsia="標楷體" w:hAnsi="標楷體" w:cs="標楷體"/>
                <w:kern w:val="0"/>
              </w:rPr>
            </w:pPr>
            <w:r>
              <w:rPr>
                <w:rFonts w:ascii="標楷體" w:eastAsia="標楷體" w:hAnsi="標楷體" w:cs="新細明體"/>
                <w:kern w:val="0"/>
              </w:rPr>
              <w:t>罰金</w:t>
            </w:r>
            <w:r w:rsidRPr="001C70FF">
              <w:rPr>
                <w:rFonts w:ascii="標楷體" w:eastAsia="標楷體" w:hAnsi="標楷體" w:cs="新細明體" w:hint="eastAsia"/>
                <w:kern w:val="0"/>
                <w:u w:val="single"/>
              </w:rPr>
              <w:t>及</w:t>
            </w:r>
            <w:r>
              <w:rPr>
                <w:rFonts w:ascii="標楷體" w:eastAsia="標楷體" w:hAnsi="標楷體" w:cs="新細明體"/>
                <w:kern w:val="0"/>
              </w:rPr>
              <w:t>沒收，得就受刑人</w:t>
            </w:r>
            <w:r>
              <w:rPr>
                <w:rFonts w:ascii="標楷體" w:eastAsia="標楷體" w:hAnsi="標楷體" w:cs="新細明體" w:hint="eastAsia"/>
                <w:kern w:val="0"/>
              </w:rPr>
              <w:t>之</w:t>
            </w:r>
            <w:r w:rsidRPr="00ED6051">
              <w:rPr>
                <w:rFonts w:ascii="標楷體" w:eastAsia="標楷體" w:hAnsi="標楷體" w:cs="新細明體"/>
                <w:kern w:val="0"/>
              </w:rPr>
              <w:t>遺產執行</w:t>
            </w:r>
            <w:r w:rsidR="00C80DA2">
              <w:rPr>
                <w:rFonts w:ascii="標楷體" w:eastAsia="標楷體" w:hAnsi="標楷體" w:cs="新細明體" w:hint="eastAsia"/>
                <w:kern w:val="0"/>
              </w:rPr>
              <w:t>。</w:t>
            </w:r>
          </w:p>
        </w:tc>
        <w:tc>
          <w:tcPr>
            <w:tcW w:w="1610" w:type="pct"/>
            <w:shd w:val="clear" w:color="000000" w:fill="FFFFFF"/>
            <w:tcMar>
              <w:left w:w="0" w:type="dxa"/>
              <w:right w:w="0" w:type="dxa"/>
            </w:tcMar>
          </w:tcPr>
          <w:p w:rsidR="00A96E43" w:rsidRDefault="00BC467D" w:rsidP="00A96E43">
            <w:pPr>
              <w:ind w:left="240" w:hangingChars="100" w:hanging="240"/>
              <w:rPr>
                <w:rFonts w:ascii="標楷體" w:eastAsia="標楷體" w:hAnsi="標楷體"/>
                <w:kern w:val="0"/>
              </w:rPr>
            </w:pPr>
            <w:r>
              <w:rPr>
                <w:rFonts w:ascii="標楷體" w:eastAsia="標楷體" w:hAnsi="標楷體" w:cs="標楷體" w:hint="eastAsia"/>
                <w:kern w:val="0"/>
              </w:rPr>
              <w:t>第四百七十條</w:t>
            </w:r>
            <w:r w:rsidRPr="00B14D77">
              <w:rPr>
                <w:rFonts w:ascii="標楷體" w:eastAsia="標楷體" w:hAnsi="標楷體" w:cs="標楷體"/>
                <w:kern w:val="0"/>
              </w:rPr>
              <w:t xml:space="preserve">  </w:t>
            </w:r>
            <w:r w:rsidRPr="00ED6051">
              <w:rPr>
                <w:rFonts w:ascii="標楷體" w:eastAsia="標楷體" w:hAnsi="標楷體"/>
                <w:kern w:val="0"/>
              </w:rPr>
              <w:t>罰金、罰鍰</w:t>
            </w:r>
            <w:r w:rsidRPr="004222A7">
              <w:rPr>
                <w:rFonts w:ascii="標楷體" w:eastAsia="標楷體" w:hAnsi="標楷體"/>
                <w:kern w:val="0"/>
              </w:rPr>
              <w:t>、</w:t>
            </w:r>
            <w:r w:rsidRPr="00ED6051">
              <w:rPr>
                <w:rFonts w:ascii="標楷體" w:eastAsia="標楷體" w:hAnsi="標楷體"/>
                <w:kern w:val="0"/>
              </w:rPr>
              <w:t>沒收</w:t>
            </w:r>
            <w:r w:rsidRPr="00ED6051">
              <w:rPr>
                <w:rFonts w:ascii="標楷體" w:eastAsia="標楷體" w:hAnsi="標楷體"/>
                <w:kern w:val="0"/>
                <w:u w:val="single"/>
              </w:rPr>
              <w:t>、</w:t>
            </w:r>
            <w:r w:rsidRPr="004222A7">
              <w:rPr>
                <w:rFonts w:ascii="標楷體" w:eastAsia="標楷體" w:hAnsi="標楷體"/>
                <w:kern w:val="0"/>
              </w:rPr>
              <w:t>沒入</w:t>
            </w:r>
            <w:r w:rsidRPr="004222A7">
              <w:rPr>
                <w:rFonts w:ascii="標楷體" w:eastAsia="標楷體" w:hAnsi="標楷體"/>
                <w:kern w:val="0"/>
                <w:u w:val="single"/>
              </w:rPr>
              <w:t>、</w:t>
            </w:r>
            <w:r w:rsidRPr="00ED6051">
              <w:rPr>
                <w:rFonts w:ascii="標楷體" w:eastAsia="標楷體" w:hAnsi="標楷體"/>
                <w:kern w:val="0"/>
                <w:u w:val="single"/>
              </w:rPr>
              <w:t>追徵、追繳及抵償</w:t>
            </w:r>
            <w:r w:rsidRPr="00ED6051">
              <w:rPr>
                <w:rFonts w:ascii="標楷體" w:eastAsia="標楷體" w:hAnsi="標楷體"/>
                <w:kern w:val="0"/>
              </w:rPr>
              <w:t>之裁判，應依檢察官之命令執行之。但罰金、罰鍰於裁判宣示後，如經受裁判人同意而檢察官不在場</w:t>
            </w:r>
            <w:r w:rsidR="00A96E43">
              <w:rPr>
                <w:rFonts w:ascii="標楷體" w:eastAsia="標楷體" w:hAnsi="標楷體" w:hint="eastAsia"/>
                <w:kern w:val="0"/>
              </w:rPr>
              <w:t>者</w:t>
            </w:r>
          </w:p>
          <w:p w:rsidR="00BC467D" w:rsidRPr="00ED6051" w:rsidRDefault="00BC467D" w:rsidP="00A96E43">
            <w:pPr>
              <w:ind w:leftChars="100" w:left="240"/>
              <w:rPr>
                <w:rFonts w:ascii="標楷體" w:eastAsia="標楷體" w:hAnsi="標楷體"/>
                <w:kern w:val="0"/>
              </w:rPr>
            </w:pPr>
            <w:r w:rsidRPr="00ED6051">
              <w:rPr>
                <w:rFonts w:ascii="標楷體" w:eastAsia="標楷體" w:hAnsi="標楷體"/>
                <w:kern w:val="0"/>
              </w:rPr>
              <w:t>，得由法官當庭指揮執行。</w:t>
            </w:r>
          </w:p>
          <w:p w:rsidR="00BC467D" w:rsidRDefault="00BC467D" w:rsidP="00A96E43">
            <w:pPr>
              <w:ind w:leftChars="100" w:left="240" w:firstLineChars="200" w:firstLine="480"/>
              <w:rPr>
                <w:rFonts w:ascii="標楷體" w:eastAsia="標楷體" w:hAnsi="標楷體"/>
                <w:kern w:val="0"/>
              </w:rPr>
            </w:pPr>
            <w:r w:rsidRPr="00ED6051">
              <w:rPr>
                <w:rFonts w:ascii="標楷體" w:eastAsia="標楷體" w:hAnsi="標楷體"/>
                <w:kern w:val="0"/>
              </w:rPr>
              <w:t>前項命令與民事執行名義有同一之效力。</w:t>
            </w:r>
          </w:p>
          <w:p w:rsidR="001C70FF" w:rsidRPr="00B14D77" w:rsidRDefault="00BC467D" w:rsidP="00A96E43">
            <w:pPr>
              <w:pStyle w:val="1"/>
              <w:adjustRightInd w:val="0"/>
              <w:snapToGrid w:val="0"/>
              <w:ind w:leftChars="100" w:left="240" w:firstLineChars="200" w:firstLine="480"/>
              <w:jc w:val="both"/>
              <w:rPr>
                <w:rFonts w:ascii="標楷體" w:eastAsia="標楷體" w:hAnsi="標楷體" w:cs="標楷體"/>
              </w:rPr>
            </w:pPr>
            <w:r w:rsidRPr="00ED6051">
              <w:rPr>
                <w:rFonts w:ascii="標楷體" w:eastAsia="標楷體" w:hAnsi="標楷體" w:cs="新細明體"/>
                <w:kern w:val="0"/>
              </w:rPr>
              <w:t>罰金</w:t>
            </w:r>
            <w:r w:rsidRPr="00ED6051">
              <w:rPr>
                <w:rFonts w:ascii="標楷體" w:eastAsia="標楷體" w:hAnsi="標楷體" w:cs="新細明體"/>
                <w:kern w:val="0"/>
                <w:u w:val="single"/>
              </w:rPr>
              <w:t>、</w:t>
            </w:r>
            <w:r w:rsidRPr="00ED6051">
              <w:rPr>
                <w:rFonts w:ascii="標楷體" w:eastAsia="標楷體" w:hAnsi="標楷體" w:cs="新細明體"/>
                <w:kern w:val="0"/>
              </w:rPr>
              <w:t>沒收</w:t>
            </w:r>
            <w:r w:rsidRPr="00ED6051">
              <w:rPr>
                <w:rFonts w:ascii="標楷體" w:eastAsia="標楷體" w:hAnsi="標楷體" w:cs="新細明體"/>
                <w:kern w:val="0"/>
                <w:u w:val="single"/>
              </w:rPr>
              <w:t>、追徵、追繳及抵償</w:t>
            </w:r>
            <w:r w:rsidRPr="00ED6051">
              <w:rPr>
                <w:rFonts w:ascii="標楷體" w:eastAsia="標楷體" w:hAnsi="標楷體" w:cs="新細明體"/>
                <w:kern w:val="0"/>
              </w:rPr>
              <w:t>，得就受刑人之遺產執行。</w:t>
            </w:r>
          </w:p>
        </w:tc>
        <w:tc>
          <w:tcPr>
            <w:tcW w:w="1615" w:type="pct"/>
            <w:shd w:val="clear" w:color="000000" w:fill="FFFFFF"/>
          </w:tcPr>
          <w:p w:rsidR="001662DA" w:rsidRPr="001662DA" w:rsidRDefault="001662DA" w:rsidP="001662DA">
            <w:pPr>
              <w:pStyle w:val="21"/>
              <w:numPr>
                <w:ilvl w:val="0"/>
                <w:numId w:val="31"/>
              </w:numPr>
              <w:ind w:leftChars="0"/>
              <w:rPr>
                <w:rFonts w:ascii="標楷體" w:eastAsia="標楷體" w:hAnsi="標楷體" w:cs="Times New Roman"/>
                <w:kern w:val="0"/>
              </w:rPr>
            </w:pPr>
            <w:r w:rsidRPr="001662DA">
              <w:rPr>
                <w:rFonts w:ascii="標楷體" w:eastAsia="標楷體" w:hAnsi="標楷體" w:cs="標楷體" w:hint="eastAsia"/>
              </w:rPr>
              <w:t>配合本法</w:t>
            </w:r>
            <w:r w:rsidRPr="001662DA">
              <w:rPr>
                <w:rFonts w:ascii="標楷體" w:eastAsia="標楷體" w:hAnsi="標楷體" w:cs="標楷體" w:hint="eastAsia"/>
                <w:bCs/>
              </w:rPr>
              <w:t>增訂</w:t>
            </w:r>
            <w:r w:rsidRPr="001662DA">
              <w:rPr>
                <w:rFonts w:ascii="標楷體" w:eastAsia="標楷體" w:hAnsi="標楷體" w:cs="標楷體" w:hint="eastAsia"/>
              </w:rPr>
              <w:t>第三條之一</w:t>
            </w:r>
            <w:r w:rsidRPr="001662DA">
              <w:rPr>
                <w:rFonts w:ascii="標楷體" w:eastAsia="標楷體" w:hAnsi="標楷體" w:cs="標楷體" w:hint="eastAsia"/>
                <w:bCs/>
              </w:rPr>
              <w:t>，明定</w:t>
            </w:r>
            <w:r w:rsidRPr="001662DA">
              <w:rPr>
                <w:rFonts w:ascii="標楷體" w:eastAsia="標楷體" w:hAnsi="標楷體" w:cs="標楷體" w:hint="eastAsia"/>
              </w:rPr>
              <w:t>本法所稱沒收，包括其替代手段之規定</w:t>
            </w:r>
            <w:r w:rsidRPr="001662DA">
              <w:rPr>
                <w:rFonts w:ascii="標楷體" w:eastAsia="標楷體" w:hAnsi="標楷體" w:cs="標楷體" w:hint="eastAsia"/>
                <w:kern w:val="0"/>
              </w:rPr>
              <w:t>，爰修正</w:t>
            </w:r>
            <w:r w:rsidRPr="001662DA">
              <w:rPr>
                <w:rFonts w:ascii="標楷體" w:eastAsia="標楷體" w:hAnsi="標楷體" w:cs="標楷體" w:hint="eastAsia"/>
                <w:bCs/>
                <w:kern w:val="0"/>
              </w:rPr>
              <w:t>本條</w:t>
            </w:r>
            <w:r w:rsidRPr="001662DA">
              <w:rPr>
                <w:rFonts w:ascii="標楷體" w:eastAsia="標楷體" w:hAnsi="標楷體" w:cs="標楷體" w:hint="eastAsia"/>
                <w:kern w:val="0"/>
              </w:rPr>
              <w:t>第一項、第三項。</w:t>
            </w:r>
          </w:p>
          <w:p w:rsidR="001C70FF" w:rsidRPr="001662DA" w:rsidRDefault="00BC467D" w:rsidP="001662DA">
            <w:pPr>
              <w:pStyle w:val="21"/>
              <w:numPr>
                <w:ilvl w:val="0"/>
                <w:numId w:val="31"/>
              </w:numPr>
              <w:ind w:leftChars="0"/>
              <w:rPr>
                <w:rFonts w:ascii="標楷體" w:eastAsia="標楷體" w:hAnsi="標楷體" w:cs="Times New Roman"/>
                <w:kern w:val="0"/>
              </w:rPr>
            </w:pPr>
            <w:r w:rsidRPr="001662DA">
              <w:rPr>
                <w:rFonts w:ascii="標楷體" w:eastAsia="標楷體" w:hAnsi="標楷體" w:hint="eastAsia"/>
              </w:rPr>
              <w:t>第二項未修正。</w:t>
            </w:r>
          </w:p>
        </w:tc>
      </w:tr>
    </w:tbl>
    <w:p w:rsidR="00C64AA6" w:rsidRDefault="00C64AA6"/>
    <w:sectPr w:rsidR="00C64AA6" w:rsidSect="00982A8E">
      <w:footerReference w:type="default" r:id="rId7"/>
      <w:pgSz w:w="11906" w:h="16838" w:code="9"/>
      <w:pgMar w:top="1418" w:right="1134" w:bottom="1418" w:left="1418"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6F7" w:rsidRDefault="00DA26F7" w:rsidP="00BC581F">
      <w:r>
        <w:separator/>
      </w:r>
    </w:p>
  </w:endnote>
  <w:endnote w:type="continuationSeparator" w:id="0">
    <w:p w:rsidR="00DA26F7" w:rsidRDefault="00DA26F7" w:rsidP="00BC58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309000000000000"/>
    <w:charset w:val="88"/>
    <w:family w:val="modern"/>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AA6" w:rsidRDefault="00EC7112">
    <w:pPr>
      <w:pStyle w:val="a3"/>
      <w:jc w:val="center"/>
    </w:pPr>
    <w:fldSimple w:instr="PAGE   \* MERGEFORMAT">
      <w:r w:rsidR="00144E3C" w:rsidRPr="00144E3C">
        <w:rPr>
          <w:noProof/>
          <w:lang w:val="zh-TW"/>
        </w:rPr>
        <w:t>1</w:t>
      </w:r>
    </w:fldSimple>
  </w:p>
  <w:p w:rsidR="00C64AA6" w:rsidRDefault="00C64AA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6F7" w:rsidRDefault="00DA26F7" w:rsidP="00BC581F">
      <w:r>
        <w:separator/>
      </w:r>
    </w:p>
  </w:footnote>
  <w:footnote w:type="continuationSeparator" w:id="0">
    <w:p w:rsidR="00DA26F7" w:rsidRDefault="00DA26F7" w:rsidP="00BC58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323"/>
    <w:multiLevelType w:val="hybridMultilevel"/>
    <w:tmpl w:val="D6E6F322"/>
    <w:lvl w:ilvl="0" w:tplc="04090015">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C45B31"/>
    <w:multiLevelType w:val="hybridMultilevel"/>
    <w:tmpl w:val="0D56E95C"/>
    <w:lvl w:ilvl="0" w:tplc="04090015">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2F5227"/>
    <w:multiLevelType w:val="hybridMultilevel"/>
    <w:tmpl w:val="4ADC6B48"/>
    <w:lvl w:ilvl="0" w:tplc="04090015">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673C85"/>
    <w:multiLevelType w:val="hybridMultilevel"/>
    <w:tmpl w:val="1D3038E4"/>
    <w:lvl w:ilvl="0" w:tplc="04090015">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BE1692B"/>
    <w:multiLevelType w:val="hybridMultilevel"/>
    <w:tmpl w:val="F46097C8"/>
    <w:lvl w:ilvl="0" w:tplc="04090015">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CC75E37"/>
    <w:multiLevelType w:val="hybridMultilevel"/>
    <w:tmpl w:val="528C5286"/>
    <w:lvl w:ilvl="0" w:tplc="34983326">
      <w:start w:val="1"/>
      <w:numFmt w:val="taiwaneseCountingThousand"/>
      <w:lvlText w:val="%1、"/>
      <w:lvlJc w:val="left"/>
      <w:pPr>
        <w:ind w:left="480" w:hanging="480"/>
      </w:pPr>
      <w:rPr>
        <w:rFonts w:hint="default"/>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6462742"/>
    <w:multiLevelType w:val="hybridMultilevel"/>
    <w:tmpl w:val="1E90E39C"/>
    <w:lvl w:ilvl="0" w:tplc="04090015">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DED4607"/>
    <w:multiLevelType w:val="hybridMultilevel"/>
    <w:tmpl w:val="85BE2DF6"/>
    <w:lvl w:ilvl="0" w:tplc="04090015">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0D94CC4"/>
    <w:multiLevelType w:val="hybridMultilevel"/>
    <w:tmpl w:val="10F264B6"/>
    <w:lvl w:ilvl="0" w:tplc="04090015">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6676A75"/>
    <w:multiLevelType w:val="hybridMultilevel"/>
    <w:tmpl w:val="695A297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D4B15BC"/>
    <w:multiLevelType w:val="hybridMultilevel"/>
    <w:tmpl w:val="72A81464"/>
    <w:lvl w:ilvl="0" w:tplc="04090015">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00706D3"/>
    <w:multiLevelType w:val="hybridMultilevel"/>
    <w:tmpl w:val="33C8CE8C"/>
    <w:lvl w:ilvl="0" w:tplc="04090015">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0984546"/>
    <w:multiLevelType w:val="hybridMultilevel"/>
    <w:tmpl w:val="235CF5D0"/>
    <w:lvl w:ilvl="0" w:tplc="04090015">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14C5310"/>
    <w:multiLevelType w:val="hybridMultilevel"/>
    <w:tmpl w:val="F8849382"/>
    <w:lvl w:ilvl="0" w:tplc="04090015">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1F35365"/>
    <w:multiLevelType w:val="hybridMultilevel"/>
    <w:tmpl w:val="2E08753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5603F31"/>
    <w:multiLevelType w:val="hybridMultilevel"/>
    <w:tmpl w:val="824C080C"/>
    <w:lvl w:ilvl="0" w:tplc="04090015">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5731843"/>
    <w:multiLevelType w:val="hybridMultilevel"/>
    <w:tmpl w:val="AD74DEE2"/>
    <w:lvl w:ilvl="0" w:tplc="04090015">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D2E2A87"/>
    <w:multiLevelType w:val="hybridMultilevel"/>
    <w:tmpl w:val="286E89EE"/>
    <w:lvl w:ilvl="0" w:tplc="04090015">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DF0371F"/>
    <w:multiLevelType w:val="hybridMultilevel"/>
    <w:tmpl w:val="19DA2FCE"/>
    <w:lvl w:ilvl="0" w:tplc="04090015">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8AD209A"/>
    <w:multiLevelType w:val="hybridMultilevel"/>
    <w:tmpl w:val="BD60887E"/>
    <w:lvl w:ilvl="0" w:tplc="04090015">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9345C66"/>
    <w:multiLevelType w:val="hybridMultilevel"/>
    <w:tmpl w:val="478291C4"/>
    <w:lvl w:ilvl="0" w:tplc="A7E0CE48">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C3A7615"/>
    <w:multiLevelType w:val="hybridMultilevel"/>
    <w:tmpl w:val="DF22D2BE"/>
    <w:lvl w:ilvl="0" w:tplc="04090015">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0266C16"/>
    <w:multiLevelType w:val="hybridMultilevel"/>
    <w:tmpl w:val="C3C4E914"/>
    <w:lvl w:ilvl="0" w:tplc="04090015">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1E00E7B"/>
    <w:multiLevelType w:val="hybridMultilevel"/>
    <w:tmpl w:val="A46C2AE8"/>
    <w:lvl w:ilvl="0" w:tplc="04090015">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97F6C99"/>
    <w:multiLevelType w:val="hybridMultilevel"/>
    <w:tmpl w:val="6EB6DE08"/>
    <w:lvl w:ilvl="0" w:tplc="04090015">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A4F1C35"/>
    <w:multiLevelType w:val="hybridMultilevel"/>
    <w:tmpl w:val="F0E65830"/>
    <w:lvl w:ilvl="0" w:tplc="04090015">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C8B4CD7"/>
    <w:multiLevelType w:val="hybridMultilevel"/>
    <w:tmpl w:val="52D08790"/>
    <w:lvl w:ilvl="0" w:tplc="04090015">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63949E2"/>
    <w:multiLevelType w:val="hybridMultilevel"/>
    <w:tmpl w:val="3580F74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85B1EC4"/>
    <w:multiLevelType w:val="hybridMultilevel"/>
    <w:tmpl w:val="F6B8A6B6"/>
    <w:lvl w:ilvl="0" w:tplc="04090015">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9050F20"/>
    <w:multiLevelType w:val="hybridMultilevel"/>
    <w:tmpl w:val="A63486DE"/>
    <w:lvl w:ilvl="0" w:tplc="04090015">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9B61538"/>
    <w:multiLevelType w:val="hybridMultilevel"/>
    <w:tmpl w:val="13E0CFF8"/>
    <w:lvl w:ilvl="0" w:tplc="04090015">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E6D7B0F"/>
    <w:multiLevelType w:val="hybridMultilevel"/>
    <w:tmpl w:val="03F2BD5A"/>
    <w:lvl w:ilvl="0" w:tplc="04090015">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9"/>
  </w:num>
  <w:num w:numId="3">
    <w:abstractNumId w:val="31"/>
  </w:num>
  <w:num w:numId="4">
    <w:abstractNumId w:val="11"/>
  </w:num>
  <w:num w:numId="5">
    <w:abstractNumId w:val="30"/>
  </w:num>
  <w:num w:numId="6">
    <w:abstractNumId w:val="16"/>
  </w:num>
  <w:num w:numId="7">
    <w:abstractNumId w:val="6"/>
  </w:num>
  <w:num w:numId="8">
    <w:abstractNumId w:val="3"/>
  </w:num>
  <w:num w:numId="9">
    <w:abstractNumId w:val="5"/>
  </w:num>
  <w:num w:numId="10">
    <w:abstractNumId w:val="22"/>
  </w:num>
  <w:num w:numId="11">
    <w:abstractNumId w:val="17"/>
  </w:num>
  <w:num w:numId="12">
    <w:abstractNumId w:val="26"/>
  </w:num>
  <w:num w:numId="13">
    <w:abstractNumId w:val="28"/>
  </w:num>
  <w:num w:numId="14">
    <w:abstractNumId w:val="0"/>
  </w:num>
  <w:num w:numId="15">
    <w:abstractNumId w:val="12"/>
  </w:num>
  <w:num w:numId="16">
    <w:abstractNumId w:val="29"/>
  </w:num>
  <w:num w:numId="17">
    <w:abstractNumId w:val="2"/>
  </w:num>
  <w:num w:numId="18">
    <w:abstractNumId w:val="7"/>
  </w:num>
  <w:num w:numId="19">
    <w:abstractNumId w:val="15"/>
  </w:num>
  <w:num w:numId="20">
    <w:abstractNumId w:val="10"/>
  </w:num>
  <w:num w:numId="21">
    <w:abstractNumId w:val="19"/>
  </w:num>
  <w:num w:numId="22">
    <w:abstractNumId w:val="23"/>
  </w:num>
  <w:num w:numId="23">
    <w:abstractNumId w:val="24"/>
  </w:num>
  <w:num w:numId="24">
    <w:abstractNumId w:val="4"/>
  </w:num>
  <w:num w:numId="25">
    <w:abstractNumId w:val="1"/>
  </w:num>
  <w:num w:numId="26">
    <w:abstractNumId w:val="18"/>
  </w:num>
  <w:num w:numId="27">
    <w:abstractNumId w:val="8"/>
  </w:num>
  <w:num w:numId="28">
    <w:abstractNumId w:val="25"/>
  </w:num>
  <w:num w:numId="29">
    <w:abstractNumId w:val="21"/>
  </w:num>
  <w:num w:numId="30">
    <w:abstractNumId w:val="13"/>
  </w:num>
  <w:num w:numId="31">
    <w:abstractNumId w:val="14"/>
  </w:num>
  <w:num w:numId="32">
    <w:abstractNumId w:val="2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7ED7"/>
    <w:rsid w:val="00020710"/>
    <w:rsid w:val="00045164"/>
    <w:rsid w:val="000656F4"/>
    <w:rsid w:val="00065728"/>
    <w:rsid w:val="00065C11"/>
    <w:rsid w:val="00070FF9"/>
    <w:rsid w:val="000729E0"/>
    <w:rsid w:val="00073779"/>
    <w:rsid w:val="00077F96"/>
    <w:rsid w:val="00090967"/>
    <w:rsid w:val="000946DA"/>
    <w:rsid w:val="00094F9A"/>
    <w:rsid w:val="000966BB"/>
    <w:rsid w:val="00097A20"/>
    <w:rsid w:val="000A0600"/>
    <w:rsid w:val="000A2AA0"/>
    <w:rsid w:val="000B28C9"/>
    <w:rsid w:val="000C1383"/>
    <w:rsid w:val="000C3C43"/>
    <w:rsid w:val="000C620B"/>
    <w:rsid w:val="000C75D2"/>
    <w:rsid w:val="000F2408"/>
    <w:rsid w:val="00111886"/>
    <w:rsid w:val="001121D8"/>
    <w:rsid w:val="0014183C"/>
    <w:rsid w:val="00144E3C"/>
    <w:rsid w:val="0014716B"/>
    <w:rsid w:val="00156496"/>
    <w:rsid w:val="001662DA"/>
    <w:rsid w:val="00171BCA"/>
    <w:rsid w:val="001768E8"/>
    <w:rsid w:val="001831F7"/>
    <w:rsid w:val="0019618C"/>
    <w:rsid w:val="001A6D14"/>
    <w:rsid w:val="001A78D5"/>
    <w:rsid w:val="001B1434"/>
    <w:rsid w:val="001B1DCA"/>
    <w:rsid w:val="001C70FF"/>
    <w:rsid w:val="001D24D1"/>
    <w:rsid w:val="001E4611"/>
    <w:rsid w:val="0020331D"/>
    <w:rsid w:val="00207B2B"/>
    <w:rsid w:val="002234DF"/>
    <w:rsid w:val="00236E84"/>
    <w:rsid w:val="00236F1B"/>
    <w:rsid w:val="00240D7A"/>
    <w:rsid w:val="00244D6E"/>
    <w:rsid w:val="00246983"/>
    <w:rsid w:val="002777EE"/>
    <w:rsid w:val="002851DB"/>
    <w:rsid w:val="00287A41"/>
    <w:rsid w:val="002B2474"/>
    <w:rsid w:val="002C2200"/>
    <w:rsid w:val="002D1221"/>
    <w:rsid w:val="002D4916"/>
    <w:rsid w:val="002F1A1B"/>
    <w:rsid w:val="002F28C0"/>
    <w:rsid w:val="00303892"/>
    <w:rsid w:val="003461D4"/>
    <w:rsid w:val="00351FA9"/>
    <w:rsid w:val="00356D13"/>
    <w:rsid w:val="00366474"/>
    <w:rsid w:val="00374004"/>
    <w:rsid w:val="0038667B"/>
    <w:rsid w:val="003873F6"/>
    <w:rsid w:val="003A0939"/>
    <w:rsid w:val="003A73C0"/>
    <w:rsid w:val="003A7D00"/>
    <w:rsid w:val="003B0F21"/>
    <w:rsid w:val="003B21CC"/>
    <w:rsid w:val="003B7861"/>
    <w:rsid w:val="003C0E40"/>
    <w:rsid w:val="003D0BD5"/>
    <w:rsid w:val="003D0FA9"/>
    <w:rsid w:val="00406555"/>
    <w:rsid w:val="00413C10"/>
    <w:rsid w:val="00427851"/>
    <w:rsid w:val="00430EE4"/>
    <w:rsid w:val="00444514"/>
    <w:rsid w:val="00454DA4"/>
    <w:rsid w:val="00472FC9"/>
    <w:rsid w:val="00474063"/>
    <w:rsid w:val="0047463C"/>
    <w:rsid w:val="004B1A70"/>
    <w:rsid w:val="004B4F08"/>
    <w:rsid w:val="004D158F"/>
    <w:rsid w:val="004E0565"/>
    <w:rsid w:val="004E1833"/>
    <w:rsid w:val="004E46E9"/>
    <w:rsid w:val="004F0073"/>
    <w:rsid w:val="004F2A1A"/>
    <w:rsid w:val="004F7117"/>
    <w:rsid w:val="00505709"/>
    <w:rsid w:val="00512AB6"/>
    <w:rsid w:val="00513910"/>
    <w:rsid w:val="00513D6D"/>
    <w:rsid w:val="005353BE"/>
    <w:rsid w:val="00540F79"/>
    <w:rsid w:val="00546269"/>
    <w:rsid w:val="00571AF7"/>
    <w:rsid w:val="005746B1"/>
    <w:rsid w:val="00580DE3"/>
    <w:rsid w:val="0059160A"/>
    <w:rsid w:val="005979D0"/>
    <w:rsid w:val="005A405B"/>
    <w:rsid w:val="005A56C9"/>
    <w:rsid w:val="005B169C"/>
    <w:rsid w:val="005B4D48"/>
    <w:rsid w:val="005B746A"/>
    <w:rsid w:val="005E3BC4"/>
    <w:rsid w:val="005F51B3"/>
    <w:rsid w:val="006065DA"/>
    <w:rsid w:val="00634091"/>
    <w:rsid w:val="0064427C"/>
    <w:rsid w:val="00657DAA"/>
    <w:rsid w:val="00663A89"/>
    <w:rsid w:val="00663F19"/>
    <w:rsid w:val="006663F2"/>
    <w:rsid w:val="00681C75"/>
    <w:rsid w:val="006909FB"/>
    <w:rsid w:val="006973FE"/>
    <w:rsid w:val="006C2198"/>
    <w:rsid w:val="006C3331"/>
    <w:rsid w:val="006C6BEA"/>
    <w:rsid w:val="006D24C7"/>
    <w:rsid w:val="006D3434"/>
    <w:rsid w:val="006D364D"/>
    <w:rsid w:val="006E19BF"/>
    <w:rsid w:val="006E5FD5"/>
    <w:rsid w:val="0070076C"/>
    <w:rsid w:val="00701699"/>
    <w:rsid w:val="00705304"/>
    <w:rsid w:val="00705AD2"/>
    <w:rsid w:val="00715FE6"/>
    <w:rsid w:val="00721858"/>
    <w:rsid w:val="00725822"/>
    <w:rsid w:val="00727BF4"/>
    <w:rsid w:val="007430E3"/>
    <w:rsid w:val="0075029A"/>
    <w:rsid w:val="00757ED7"/>
    <w:rsid w:val="0076099D"/>
    <w:rsid w:val="00771AF6"/>
    <w:rsid w:val="00774257"/>
    <w:rsid w:val="00775DE3"/>
    <w:rsid w:val="00782282"/>
    <w:rsid w:val="00783BF1"/>
    <w:rsid w:val="007A5950"/>
    <w:rsid w:val="007F3964"/>
    <w:rsid w:val="007F5152"/>
    <w:rsid w:val="00817755"/>
    <w:rsid w:val="00823801"/>
    <w:rsid w:val="0082418D"/>
    <w:rsid w:val="00824D08"/>
    <w:rsid w:val="00826EBF"/>
    <w:rsid w:val="008277BF"/>
    <w:rsid w:val="008315C1"/>
    <w:rsid w:val="0083323B"/>
    <w:rsid w:val="008579C0"/>
    <w:rsid w:val="008B0E6E"/>
    <w:rsid w:val="008C0218"/>
    <w:rsid w:val="008C6ED9"/>
    <w:rsid w:val="008D15A7"/>
    <w:rsid w:val="008D3126"/>
    <w:rsid w:val="008D703E"/>
    <w:rsid w:val="008E02B0"/>
    <w:rsid w:val="008F58B1"/>
    <w:rsid w:val="00904A70"/>
    <w:rsid w:val="00904DAF"/>
    <w:rsid w:val="00923590"/>
    <w:rsid w:val="0092705D"/>
    <w:rsid w:val="009322B1"/>
    <w:rsid w:val="00955928"/>
    <w:rsid w:val="00961CE8"/>
    <w:rsid w:val="0096213F"/>
    <w:rsid w:val="00966CAD"/>
    <w:rsid w:val="00972CDD"/>
    <w:rsid w:val="00982A8E"/>
    <w:rsid w:val="009871A3"/>
    <w:rsid w:val="00990260"/>
    <w:rsid w:val="00994BEA"/>
    <w:rsid w:val="00997205"/>
    <w:rsid w:val="009A12BD"/>
    <w:rsid w:val="009A2B79"/>
    <w:rsid w:val="009B1FD9"/>
    <w:rsid w:val="009B2BB1"/>
    <w:rsid w:val="009B341C"/>
    <w:rsid w:val="009D21A2"/>
    <w:rsid w:val="009D550D"/>
    <w:rsid w:val="009E22FE"/>
    <w:rsid w:val="009E6142"/>
    <w:rsid w:val="009E74F8"/>
    <w:rsid w:val="009F74B5"/>
    <w:rsid w:val="00A068E7"/>
    <w:rsid w:val="00A17309"/>
    <w:rsid w:val="00A32739"/>
    <w:rsid w:val="00A3540D"/>
    <w:rsid w:val="00A4675C"/>
    <w:rsid w:val="00A47EDB"/>
    <w:rsid w:val="00A502C1"/>
    <w:rsid w:val="00A7678C"/>
    <w:rsid w:val="00A90D0B"/>
    <w:rsid w:val="00A920EF"/>
    <w:rsid w:val="00A96E43"/>
    <w:rsid w:val="00AA5396"/>
    <w:rsid w:val="00AB54C4"/>
    <w:rsid w:val="00AC5863"/>
    <w:rsid w:val="00AC774B"/>
    <w:rsid w:val="00AD29F7"/>
    <w:rsid w:val="00AD62EE"/>
    <w:rsid w:val="00AF4450"/>
    <w:rsid w:val="00AF674B"/>
    <w:rsid w:val="00B1225B"/>
    <w:rsid w:val="00B14D77"/>
    <w:rsid w:val="00B15D0C"/>
    <w:rsid w:val="00B263AE"/>
    <w:rsid w:val="00B568BC"/>
    <w:rsid w:val="00B7233D"/>
    <w:rsid w:val="00B745DD"/>
    <w:rsid w:val="00B76709"/>
    <w:rsid w:val="00B80296"/>
    <w:rsid w:val="00B84A36"/>
    <w:rsid w:val="00B95939"/>
    <w:rsid w:val="00BA68A7"/>
    <w:rsid w:val="00BA7892"/>
    <w:rsid w:val="00BB206E"/>
    <w:rsid w:val="00BB3221"/>
    <w:rsid w:val="00BC467D"/>
    <w:rsid w:val="00BC5696"/>
    <w:rsid w:val="00BC581F"/>
    <w:rsid w:val="00BD7D42"/>
    <w:rsid w:val="00BF1E67"/>
    <w:rsid w:val="00BF48B3"/>
    <w:rsid w:val="00C06145"/>
    <w:rsid w:val="00C222FD"/>
    <w:rsid w:val="00C227B1"/>
    <w:rsid w:val="00C23906"/>
    <w:rsid w:val="00C2439B"/>
    <w:rsid w:val="00C244D0"/>
    <w:rsid w:val="00C27B07"/>
    <w:rsid w:val="00C416FC"/>
    <w:rsid w:val="00C46391"/>
    <w:rsid w:val="00C50789"/>
    <w:rsid w:val="00C60F21"/>
    <w:rsid w:val="00C64AA6"/>
    <w:rsid w:val="00C672A7"/>
    <w:rsid w:val="00C73020"/>
    <w:rsid w:val="00C80DA2"/>
    <w:rsid w:val="00C8285C"/>
    <w:rsid w:val="00CA5FBB"/>
    <w:rsid w:val="00CB3B5F"/>
    <w:rsid w:val="00CC4998"/>
    <w:rsid w:val="00CC7A38"/>
    <w:rsid w:val="00CE0C03"/>
    <w:rsid w:val="00CE2EF4"/>
    <w:rsid w:val="00CE41A2"/>
    <w:rsid w:val="00CE62A6"/>
    <w:rsid w:val="00CE6FEB"/>
    <w:rsid w:val="00CF27B2"/>
    <w:rsid w:val="00CF6DC2"/>
    <w:rsid w:val="00CF7612"/>
    <w:rsid w:val="00D172D6"/>
    <w:rsid w:val="00D20779"/>
    <w:rsid w:val="00D21769"/>
    <w:rsid w:val="00D34203"/>
    <w:rsid w:val="00D40038"/>
    <w:rsid w:val="00D43EF4"/>
    <w:rsid w:val="00D53AE5"/>
    <w:rsid w:val="00D652E9"/>
    <w:rsid w:val="00D71FB6"/>
    <w:rsid w:val="00D941DC"/>
    <w:rsid w:val="00DA26F7"/>
    <w:rsid w:val="00DA45AB"/>
    <w:rsid w:val="00DB19E7"/>
    <w:rsid w:val="00DB2AD7"/>
    <w:rsid w:val="00DC5B95"/>
    <w:rsid w:val="00DC5E2B"/>
    <w:rsid w:val="00DD43C6"/>
    <w:rsid w:val="00DF0AD9"/>
    <w:rsid w:val="00E04CCC"/>
    <w:rsid w:val="00E327B3"/>
    <w:rsid w:val="00E71904"/>
    <w:rsid w:val="00E77052"/>
    <w:rsid w:val="00E800C2"/>
    <w:rsid w:val="00E81E84"/>
    <w:rsid w:val="00E91FB8"/>
    <w:rsid w:val="00E93827"/>
    <w:rsid w:val="00EB73E5"/>
    <w:rsid w:val="00EB7C00"/>
    <w:rsid w:val="00EC0063"/>
    <w:rsid w:val="00EC0458"/>
    <w:rsid w:val="00EC5716"/>
    <w:rsid w:val="00EC7112"/>
    <w:rsid w:val="00F172B0"/>
    <w:rsid w:val="00F32151"/>
    <w:rsid w:val="00F365E9"/>
    <w:rsid w:val="00F47B03"/>
    <w:rsid w:val="00F5348B"/>
    <w:rsid w:val="00F62919"/>
    <w:rsid w:val="00F82AB0"/>
    <w:rsid w:val="00FA2531"/>
    <w:rsid w:val="00FA7F40"/>
    <w:rsid w:val="00FB0B43"/>
    <w:rsid w:val="00FB23BC"/>
    <w:rsid w:val="00FB6742"/>
    <w:rsid w:val="00FB7340"/>
    <w:rsid w:val="00FD7A9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ED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57ED7"/>
    <w:pPr>
      <w:tabs>
        <w:tab w:val="center" w:pos="4153"/>
        <w:tab w:val="right" w:pos="8306"/>
      </w:tabs>
      <w:snapToGrid w:val="0"/>
    </w:pPr>
    <w:rPr>
      <w:kern w:val="0"/>
      <w:sz w:val="20"/>
      <w:szCs w:val="20"/>
    </w:rPr>
  </w:style>
  <w:style w:type="character" w:customStyle="1" w:styleId="a4">
    <w:name w:val="頁尾 字元"/>
    <w:basedOn w:val="a0"/>
    <w:link w:val="a3"/>
    <w:uiPriority w:val="99"/>
    <w:locked/>
    <w:rsid w:val="00757ED7"/>
    <w:rPr>
      <w:rFonts w:ascii="Calibri" w:eastAsia="新細明體" w:hAnsi="Calibri" w:cs="Times New Roman"/>
      <w:kern w:val="0"/>
      <w:sz w:val="20"/>
      <w:szCs w:val="20"/>
    </w:rPr>
  </w:style>
  <w:style w:type="paragraph" w:customStyle="1" w:styleId="1">
    <w:name w:val="清單段落1"/>
    <w:basedOn w:val="a"/>
    <w:uiPriority w:val="99"/>
    <w:rsid w:val="00757ED7"/>
    <w:pPr>
      <w:ind w:leftChars="200" w:left="480"/>
    </w:pPr>
  </w:style>
  <w:style w:type="paragraph" w:styleId="a5">
    <w:name w:val="Salutation"/>
    <w:basedOn w:val="a"/>
    <w:next w:val="a"/>
    <w:link w:val="a6"/>
    <w:uiPriority w:val="99"/>
    <w:rsid w:val="00757ED7"/>
    <w:rPr>
      <w:rFonts w:ascii="標楷體" w:eastAsia="標楷體" w:hAnsi="標楷體"/>
      <w:kern w:val="0"/>
      <w:sz w:val="20"/>
      <w:szCs w:val="20"/>
    </w:rPr>
  </w:style>
  <w:style w:type="character" w:customStyle="1" w:styleId="a6">
    <w:name w:val="問候 字元"/>
    <w:basedOn w:val="a0"/>
    <w:link w:val="a5"/>
    <w:uiPriority w:val="99"/>
    <w:locked/>
    <w:rsid w:val="00757ED7"/>
    <w:rPr>
      <w:rFonts w:ascii="標楷體" w:eastAsia="標楷體" w:hAnsi="標楷體" w:cs="Times New Roman"/>
      <w:kern w:val="0"/>
      <w:sz w:val="20"/>
      <w:szCs w:val="20"/>
    </w:rPr>
  </w:style>
  <w:style w:type="paragraph" w:styleId="a7">
    <w:name w:val="List Paragraph"/>
    <w:basedOn w:val="a"/>
    <w:uiPriority w:val="99"/>
    <w:qFormat/>
    <w:rsid w:val="00757ED7"/>
    <w:pPr>
      <w:ind w:leftChars="200" w:left="480"/>
    </w:pPr>
  </w:style>
  <w:style w:type="paragraph" w:styleId="a8">
    <w:name w:val="header"/>
    <w:basedOn w:val="a"/>
    <w:link w:val="a9"/>
    <w:uiPriority w:val="99"/>
    <w:semiHidden/>
    <w:rsid w:val="008C0218"/>
    <w:pPr>
      <w:tabs>
        <w:tab w:val="center" w:pos="4153"/>
        <w:tab w:val="right" w:pos="8306"/>
      </w:tabs>
      <w:snapToGrid w:val="0"/>
    </w:pPr>
    <w:rPr>
      <w:sz w:val="20"/>
      <w:szCs w:val="20"/>
    </w:rPr>
  </w:style>
  <w:style w:type="character" w:customStyle="1" w:styleId="a9">
    <w:name w:val="頁首 字元"/>
    <w:basedOn w:val="a0"/>
    <w:link w:val="a8"/>
    <w:uiPriority w:val="99"/>
    <w:semiHidden/>
    <w:locked/>
    <w:rsid w:val="008C0218"/>
    <w:rPr>
      <w:rFonts w:ascii="Calibri" w:eastAsia="新細明體" w:hAnsi="Calibri" w:cs="Times New Roman"/>
      <w:sz w:val="20"/>
      <w:szCs w:val="20"/>
    </w:rPr>
  </w:style>
  <w:style w:type="paragraph" w:styleId="aa">
    <w:name w:val="No Spacing"/>
    <w:uiPriority w:val="99"/>
    <w:qFormat/>
    <w:rsid w:val="00454DA4"/>
    <w:pPr>
      <w:widowControl w:val="0"/>
    </w:pPr>
  </w:style>
  <w:style w:type="paragraph" w:styleId="ab">
    <w:name w:val="Balloon Text"/>
    <w:basedOn w:val="a"/>
    <w:link w:val="ac"/>
    <w:uiPriority w:val="99"/>
    <w:semiHidden/>
    <w:rsid w:val="00701699"/>
    <w:rPr>
      <w:rFonts w:ascii="Cambria" w:hAnsi="Cambria"/>
      <w:sz w:val="18"/>
      <w:szCs w:val="18"/>
    </w:rPr>
  </w:style>
  <w:style w:type="character" w:customStyle="1" w:styleId="ac">
    <w:name w:val="註解方塊文字 字元"/>
    <w:basedOn w:val="a0"/>
    <w:link w:val="ab"/>
    <w:uiPriority w:val="99"/>
    <w:semiHidden/>
    <w:locked/>
    <w:rsid w:val="00701699"/>
    <w:rPr>
      <w:rFonts w:ascii="Cambria" w:eastAsia="新細明體" w:hAnsi="Cambria" w:cs="Times New Roman"/>
      <w:kern w:val="2"/>
      <w:sz w:val="18"/>
      <w:szCs w:val="18"/>
      <w:lang w:val="en-US" w:eastAsia="zh-TW" w:bidi="ar-SA"/>
    </w:rPr>
  </w:style>
  <w:style w:type="paragraph" w:styleId="ad">
    <w:name w:val="Closing"/>
    <w:basedOn w:val="a"/>
    <w:link w:val="ae"/>
    <w:uiPriority w:val="99"/>
    <w:rsid w:val="008E02B0"/>
    <w:pPr>
      <w:ind w:leftChars="1800" w:left="100"/>
    </w:pPr>
    <w:rPr>
      <w:rFonts w:ascii="標楷體" w:eastAsia="標楷體" w:hAnsi="標楷體" w:cs="標楷體"/>
      <w:kern w:val="0"/>
    </w:rPr>
  </w:style>
  <w:style w:type="character" w:customStyle="1" w:styleId="ae">
    <w:name w:val="結語 字元"/>
    <w:basedOn w:val="a0"/>
    <w:link w:val="ad"/>
    <w:uiPriority w:val="99"/>
    <w:semiHidden/>
    <w:locked/>
    <w:rsid w:val="00634091"/>
    <w:rPr>
      <w:rFonts w:cs="Times New Roman"/>
    </w:rPr>
  </w:style>
  <w:style w:type="paragraph" w:customStyle="1" w:styleId="af">
    <w:name w:val="說明凸排 字元"/>
    <w:basedOn w:val="a"/>
    <w:rsid w:val="00DD43C6"/>
    <w:pPr>
      <w:spacing w:line="500" w:lineRule="exact"/>
      <w:ind w:left="560" w:hangingChars="200" w:hanging="560"/>
      <w:jc w:val="both"/>
    </w:pPr>
    <w:rPr>
      <w:rFonts w:ascii="Times New Roman" w:eastAsia="標楷體" w:hAnsi="Times New Roman"/>
      <w:sz w:val="28"/>
      <w:szCs w:val="24"/>
    </w:rPr>
  </w:style>
  <w:style w:type="paragraph" w:customStyle="1" w:styleId="af0">
    <w:name w:val="法條第一項 字元 字元 字元"/>
    <w:basedOn w:val="2"/>
    <w:rsid w:val="00287A41"/>
  </w:style>
  <w:style w:type="paragraph" w:styleId="2">
    <w:name w:val="Body Text 2"/>
    <w:basedOn w:val="a"/>
    <w:link w:val="20"/>
    <w:uiPriority w:val="99"/>
    <w:semiHidden/>
    <w:unhideWhenUsed/>
    <w:rsid w:val="00287A41"/>
    <w:pPr>
      <w:spacing w:after="120" w:line="480" w:lineRule="auto"/>
    </w:pPr>
  </w:style>
  <w:style w:type="character" w:customStyle="1" w:styleId="20">
    <w:name w:val="本文 2 字元"/>
    <w:basedOn w:val="a0"/>
    <w:link w:val="2"/>
    <w:uiPriority w:val="99"/>
    <w:semiHidden/>
    <w:rsid w:val="00287A41"/>
  </w:style>
  <w:style w:type="paragraph" w:customStyle="1" w:styleId="21">
    <w:name w:val="清單段落2"/>
    <w:basedOn w:val="a"/>
    <w:uiPriority w:val="99"/>
    <w:qFormat/>
    <w:rsid w:val="001662DA"/>
    <w:pPr>
      <w:ind w:leftChars="200" w:left="480"/>
    </w:pPr>
    <w:rPr>
      <w:rFonts w:cs="Calibri"/>
      <w:szCs w:val="24"/>
    </w:rPr>
  </w:style>
  <w:style w:type="character" w:customStyle="1" w:styleId="s19">
    <w:name w:val="s19"/>
    <w:basedOn w:val="a0"/>
    <w:rsid w:val="00236E84"/>
  </w:style>
  <w:style w:type="character" w:customStyle="1" w:styleId="s12">
    <w:name w:val="s12"/>
    <w:basedOn w:val="a0"/>
    <w:rsid w:val="00236E84"/>
  </w:style>
</w:styles>
</file>

<file path=word/webSettings.xml><?xml version="1.0" encoding="utf-8"?>
<w:webSettings xmlns:r="http://schemas.openxmlformats.org/officeDocument/2006/relationships" xmlns:w="http://schemas.openxmlformats.org/wordprocessingml/2006/main">
  <w:divs>
    <w:div w:id="75644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1551</Words>
  <Characters>8845</Characters>
  <Application>Microsoft Office Word</Application>
  <DocSecurity>0</DocSecurity>
  <Lines>73</Lines>
  <Paragraphs>20</Paragraphs>
  <ScaleCrop>false</ScaleCrop>
  <Company>EY</Company>
  <LinksUpToDate>false</LinksUpToDate>
  <CharactersWithSpaces>10376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中華民國刑法部分條文修正草案總說明</dc:title>
  <dc:creator>Administrator</dc:creator>
  <cp:lastModifiedBy> </cp:lastModifiedBy>
  <cp:revision>2</cp:revision>
  <cp:lastPrinted>2015-12-03T02:04:00Z</cp:lastPrinted>
  <dcterms:created xsi:type="dcterms:W3CDTF">2015-12-04T07:45:00Z</dcterms:created>
  <dcterms:modified xsi:type="dcterms:W3CDTF">2015-12-04T07:45:00Z</dcterms:modified>
</cp:coreProperties>
</file>